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763BD" w14:textId="2FFF3D94" w:rsidR="00FE5481" w:rsidRDefault="00FE5481" w:rsidP="00FE5481">
      <w:pPr>
        <w:jc w:val="center"/>
        <w:rPr>
          <w:b/>
          <w:bCs/>
          <w:u w:val="single"/>
          <w:lang w:val="en-GB"/>
        </w:rPr>
      </w:pPr>
      <w:r>
        <w:rPr>
          <w:noProof/>
          <w:lang w:eastAsia="it-IT"/>
        </w:rPr>
        <w:drawing>
          <wp:inline distT="0" distB="0" distL="0" distR="0" wp14:anchorId="6DEA1182" wp14:editId="72405337">
            <wp:extent cx="3155473" cy="804493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0710" cy="80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C4735" w14:textId="77777777" w:rsidR="00FE5481" w:rsidRDefault="00FE5481">
      <w:pPr>
        <w:rPr>
          <w:b/>
          <w:bCs/>
          <w:u w:val="single"/>
          <w:lang w:val="en-GB"/>
        </w:rPr>
      </w:pPr>
    </w:p>
    <w:p w14:paraId="1BBE048D" w14:textId="4D666111" w:rsidR="00122418" w:rsidRDefault="00302FF9" w:rsidP="00FE5481">
      <w:pPr>
        <w:jc w:val="center"/>
        <w:rPr>
          <w:b/>
          <w:bCs/>
          <w:u w:val="single"/>
          <w:lang w:val="en-GB"/>
        </w:rPr>
      </w:pPr>
      <w:r w:rsidRPr="00302FF9">
        <w:rPr>
          <w:b/>
          <w:bCs/>
          <w:u w:val="single"/>
          <w:lang w:val="en-GB"/>
        </w:rPr>
        <w:t xml:space="preserve">Louis Vuitton </w:t>
      </w:r>
      <w:r w:rsidR="00351C2B" w:rsidRPr="00302FF9">
        <w:rPr>
          <w:b/>
          <w:bCs/>
          <w:u w:val="single"/>
          <w:lang w:val="en-GB"/>
        </w:rPr>
        <w:t>loses the</w:t>
      </w:r>
      <w:r w:rsidRPr="00302FF9">
        <w:rPr>
          <w:b/>
          <w:bCs/>
          <w:u w:val="single"/>
          <w:lang w:val="en-GB"/>
        </w:rPr>
        <w:t xml:space="preserve"> che</w:t>
      </w:r>
      <w:r w:rsidR="00687D47">
        <w:rPr>
          <w:b/>
          <w:bCs/>
          <w:u w:val="single"/>
          <w:lang w:val="en-GB"/>
        </w:rPr>
        <w:t>quer</w:t>
      </w:r>
      <w:r w:rsidRPr="00302FF9">
        <w:rPr>
          <w:b/>
          <w:bCs/>
          <w:u w:val="single"/>
          <w:lang w:val="en-GB"/>
        </w:rPr>
        <w:t>board match</w:t>
      </w:r>
    </w:p>
    <w:p w14:paraId="6BA6A543" w14:textId="77777777" w:rsidR="00FE5481" w:rsidRPr="00302FF9" w:rsidRDefault="00FE5481">
      <w:pPr>
        <w:rPr>
          <w:b/>
          <w:bCs/>
          <w:u w:val="single"/>
          <w:lang w:val="en-GB"/>
        </w:rPr>
      </w:pPr>
      <w:bookmarkStart w:id="0" w:name="_GoBack"/>
      <w:bookmarkEnd w:id="0"/>
    </w:p>
    <w:p w14:paraId="58938EDA" w14:textId="012B0C42" w:rsidR="00302FF9" w:rsidRDefault="00687D47" w:rsidP="002C6812">
      <w:pPr>
        <w:jc w:val="both"/>
        <w:rPr>
          <w:lang w:val="en-GB"/>
        </w:rPr>
      </w:pPr>
      <w:r>
        <w:rPr>
          <w:lang w:val="en-GB"/>
        </w:rPr>
        <w:t>Luxury</w:t>
      </w:r>
      <w:r w:rsidR="00302FF9">
        <w:rPr>
          <w:lang w:val="en-GB"/>
        </w:rPr>
        <w:t xml:space="preserve"> lovers would certainly</w:t>
      </w:r>
      <w:r w:rsidR="00475921">
        <w:rPr>
          <w:lang w:val="en-GB"/>
        </w:rPr>
        <w:t xml:space="preserve"> be</w:t>
      </w:r>
      <w:r w:rsidR="00302FF9">
        <w:rPr>
          <w:lang w:val="en-GB"/>
        </w:rPr>
        <w:t xml:space="preserve"> </w:t>
      </w:r>
      <w:r w:rsidR="00B20F6E">
        <w:rPr>
          <w:lang w:val="en-GB"/>
        </w:rPr>
        <w:t>familiar with</w:t>
      </w:r>
      <w:r w:rsidR="00302FF9">
        <w:rPr>
          <w:lang w:val="en-GB"/>
        </w:rPr>
        <w:t xml:space="preserve"> the </w:t>
      </w:r>
      <w:r>
        <w:rPr>
          <w:lang w:val="en-GB"/>
        </w:rPr>
        <w:t xml:space="preserve">fabric </w:t>
      </w:r>
      <w:r w:rsidR="00BE7C2C">
        <w:rPr>
          <w:lang w:val="en-GB"/>
        </w:rPr>
        <w:t xml:space="preserve">referred to as </w:t>
      </w:r>
      <w:r>
        <w:rPr>
          <w:lang w:val="en-GB"/>
        </w:rPr>
        <w:t>“</w:t>
      </w:r>
      <w:r w:rsidR="00302FF9">
        <w:rPr>
          <w:lang w:val="en-GB"/>
        </w:rPr>
        <w:t>Damier Azur”</w:t>
      </w:r>
      <w:r w:rsidR="00BE7C2C">
        <w:rPr>
          <w:lang w:val="en-GB"/>
        </w:rPr>
        <w:t>, which has been</w:t>
      </w:r>
      <w:r w:rsidR="00302FF9">
        <w:rPr>
          <w:lang w:val="en-GB"/>
        </w:rPr>
        <w:t xml:space="preserve"> used by the prestigious French </w:t>
      </w:r>
      <w:r w:rsidR="00DB2C2D" w:rsidRPr="00281288">
        <w:rPr>
          <w:lang w:val="en-GB"/>
        </w:rPr>
        <w:t>Ma</w:t>
      </w:r>
      <w:r w:rsidR="00302FF9" w:rsidRPr="00281288">
        <w:rPr>
          <w:lang w:val="en-GB"/>
        </w:rPr>
        <w:t xml:space="preserve">ison </w:t>
      </w:r>
      <w:r w:rsidR="00DB2C2D">
        <w:rPr>
          <w:lang w:val="en-GB"/>
        </w:rPr>
        <w:t xml:space="preserve">Louis Vuitton </w:t>
      </w:r>
      <w:r w:rsidR="00302FF9">
        <w:rPr>
          <w:lang w:val="en-GB"/>
        </w:rPr>
        <w:t>for the c</w:t>
      </w:r>
      <w:r w:rsidR="00EE5C0B">
        <w:rPr>
          <w:lang w:val="en-GB"/>
        </w:rPr>
        <w:t>reation</w:t>
      </w:r>
      <w:r w:rsidR="00AD3050">
        <w:rPr>
          <w:lang w:val="en-GB"/>
        </w:rPr>
        <w:t xml:space="preserve"> </w:t>
      </w:r>
      <w:r w:rsidR="00302FF9">
        <w:rPr>
          <w:lang w:val="en-GB"/>
        </w:rPr>
        <w:t xml:space="preserve">of </w:t>
      </w:r>
      <w:r w:rsidR="00BE7C2C">
        <w:rPr>
          <w:lang w:val="en-GB"/>
        </w:rPr>
        <w:t xml:space="preserve">certain </w:t>
      </w:r>
      <w:r w:rsidR="00302FF9">
        <w:rPr>
          <w:lang w:val="en-GB"/>
        </w:rPr>
        <w:t>bags</w:t>
      </w:r>
      <w:r w:rsidR="00EE5C0B">
        <w:rPr>
          <w:lang w:val="en-GB"/>
        </w:rPr>
        <w:t xml:space="preserve"> and</w:t>
      </w:r>
      <w:r w:rsidR="00302FF9">
        <w:rPr>
          <w:lang w:val="en-GB"/>
        </w:rPr>
        <w:t xml:space="preserve"> </w:t>
      </w:r>
      <w:r w:rsidR="00EE5C0B">
        <w:rPr>
          <w:lang w:val="en-GB"/>
        </w:rPr>
        <w:t>luggage</w:t>
      </w:r>
      <w:r w:rsidR="00302FF9">
        <w:rPr>
          <w:lang w:val="en-GB"/>
        </w:rPr>
        <w:t xml:space="preserve"> </w:t>
      </w:r>
      <w:r w:rsidR="00351C2B">
        <w:rPr>
          <w:lang w:val="en-GB"/>
        </w:rPr>
        <w:t>since the</w:t>
      </w:r>
      <w:r w:rsidR="00302FF9">
        <w:rPr>
          <w:lang w:val="en-GB"/>
        </w:rPr>
        <w:t xml:space="preserve"> end of the ni</w:t>
      </w:r>
      <w:r w:rsidR="00351C2B">
        <w:rPr>
          <w:lang w:val="en-GB"/>
        </w:rPr>
        <w:t>ne</w:t>
      </w:r>
      <w:r w:rsidR="00302FF9">
        <w:rPr>
          <w:lang w:val="en-GB"/>
        </w:rPr>
        <w:t>ties</w:t>
      </w:r>
      <w:r w:rsidR="00BE7C2C">
        <w:rPr>
          <w:lang w:val="en-GB"/>
        </w:rPr>
        <w:t>. This material</w:t>
      </w:r>
      <w:r w:rsidR="00302FF9">
        <w:rPr>
          <w:lang w:val="en-GB"/>
        </w:rPr>
        <w:t xml:space="preserve"> is </w:t>
      </w:r>
      <w:r w:rsidR="00B20F6E">
        <w:rPr>
          <w:lang w:val="en-GB"/>
        </w:rPr>
        <w:t>characterized by a</w:t>
      </w:r>
      <w:r w:rsidR="00302FF9">
        <w:rPr>
          <w:lang w:val="en-GB"/>
        </w:rPr>
        <w:t xml:space="preserve"> che</w:t>
      </w:r>
      <w:r w:rsidR="00351C2B">
        <w:rPr>
          <w:lang w:val="en-GB"/>
        </w:rPr>
        <w:t>quer</w:t>
      </w:r>
      <w:r w:rsidR="00302FF9">
        <w:rPr>
          <w:lang w:val="en-GB"/>
        </w:rPr>
        <w:t>board pattern that has</w:t>
      </w:r>
      <w:r w:rsidR="00BE7C2C">
        <w:rPr>
          <w:lang w:val="en-GB"/>
        </w:rPr>
        <w:t xml:space="preserve"> not only seen</w:t>
      </w:r>
      <w:r w:rsidR="00302FF9">
        <w:rPr>
          <w:lang w:val="en-GB"/>
        </w:rPr>
        <w:t xml:space="preserve"> the </w:t>
      </w:r>
      <w:r w:rsidR="00351C2B">
        <w:rPr>
          <w:lang w:val="en-GB"/>
        </w:rPr>
        <w:t>spotlights</w:t>
      </w:r>
      <w:r w:rsidR="00302FF9">
        <w:rPr>
          <w:lang w:val="en-GB"/>
        </w:rPr>
        <w:t xml:space="preserve"> of the catwalks, </w:t>
      </w:r>
      <w:r w:rsidR="00BE7C2C">
        <w:rPr>
          <w:lang w:val="en-GB"/>
        </w:rPr>
        <w:t xml:space="preserve">but </w:t>
      </w:r>
      <w:r w:rsidR="00302FF9">
        <w:rPr>
          <w:lang w:val="en-GB"/>
        </w:rPr>
        <w:t xml:space="preserve">also </w:t>
      </w:r>
      <w:r w:rsidR="00BE7C2C">
        <w:rPr>
          <w:lang w:val="en-GB"/>
        </w:rPr>
        <w:t>those</w:t>
      </w:r>
      <w:r w:rsidR="00351C2B">
        <w:rPr>
          <w:lang w:val="en-GB"/>
        </w:rPr>
        <w:t xml:space="preserve"> </w:t>
      </w:r>
      <w:r w:rsidR="00302FF9">
        <w:rPr>
          <w:lang w:val="en-GB"/>
        </w:rPr>
        <w:t xml:space="preserve">of the administrative and judicial </w:t>
      </w:r>
      <w:r w:rsidR="00BE7C2C">
        <w:rPr>
          <w:lang w:val="en-GB"/>
        </w:rPr>
        <w:t>chambers, which for years have presided over fights about whether it should enjoy</w:t>
      </w:r>
      <w:r w:rsidR="00351C2B">
        <w:rPr>
          <w:lang w:val="en-GB"/>
        </w:rPr>
        <w:t>,</w:t>
      </w:r>
      <w:r w:rsidR="00BE7C2C">
        <w:rPr>
          <w:lang w:val="en-GB"/>
        </w:rPr>
        <w:t xml:space="preserve"> or perhaps</w:t>
      </w:r>
      <w:r w:rsidR="00302FF9">
        <w:rPr>
          <w:lang w:val="en-GB"/>
        </w:rPr>
        <w:t xml:space="preserve"> better</w:t>
      </w:r>
      <w:r w:rsidR="00351C2B">
        <w:rPr>
          <w:lang w:val="en-GB"/>
        </w:rPr>
        <w:t xml:space="preserve"> to say,</w:t>
      </w:r>
      <w:r w:rsidR="00302FF9">
        <w:rPr>
          <w:lang w:val="en-GB"/>
        </w:rPr>
        <w:t xml:space="preserve"> </w:t>
      </w:r>
      <w:r w:rsidR="00BE7C2C">
        <w:rPr>
          <w:lang w:val="en-GB"/>
        </w:rPr>
        <w:t>whether it should not lose</w:t>
      </w:r>
      <w:r w:rsidR="00302FF9">
        <w:rPr>
          <w:lang w:val="en-GB"/>
        </w:rPr>
        <w:t>, the “</w:t>
      </w:r>
      <w:r w:rsidR="00351C2B">
        <w:rPr>
          <w:lang w:val="en-GB"/>
        </w:rPr>
        <w:t>status</w:t>
      </w:r>
      <w:r w:rsidR="00302FF9">
        <w:rPr>
          <w:lang w:val="en-GB"/>
        </w:rPr>
        <w:t>” of trademark</w:t>
      </w:r>
      <w:r w:rsidR="009057F3">
        <w:rPr>
          <w:lang w:val="en-GB"/>
        </w:rPr>
        <w:t>.</w:t>
      </w:r>
    </w:p>
    <w:p w14:paraId="5D80F6F8" w14:textId="7A6046FC" w:rsidR="009057F3" w:rsidRDefault="00247B4B" w:rsidP="002C6812">
      <w:pPr>
        <w:jc w:val="both"/>
        <w:rPr>
          <w:lang w:val="en-GB"/>
        </w:rPr>
      </w:pPr>
      <w:r>
        <w:rPr>
          <w:lang w:val="en-GB"/>
        </w:rPr>
        <w:t xml:space="preserve">Indeed, </w:t>
      </w:r>
      <w:r w:rsidR="009057F3">
        <w:rPr>
          <w:lang w:val="en-GB"/>
        </w:rPr>
        <w:t xml:space="preserve">the spotlights of the </w:t>
      </w:r>
      <w:r w:rsidR="00792E33">
        <w:rPr>
          <w:lang w:val="en-GB"/>
        </w:rPr>
        <w:t>administrative</w:t>
      </w:r>
      <w:r w:rsidR="009057F3">
        <w:rPr>
          <w:lang w:val="en-GB"/>
        </w:rPr>
        <w:t xml:space="preserve"> </w:t>
      </w:r>
      <w:r w:rsidR="00BE7C2C">
        <w:rPr>
          <w:lang w:val="en-GB"/>
        </w:rPr>
        <w:t xml:space="preserve">offices first </w:t>
      </w:r>
      <w:r>
        <w:rPr>
          <w:lang w:val="en-GB"/>
        </w:rPr>
        <w:t>turned</w:t>
      </w:r>
      <w:r w:rsidR="00BE7C2C">
        <w:rPr>
          <w:lang w:val="en-GB"/>
        </w:rPr>
        <w:t xml:space="preserve"> to this material</w:t>
      </w:r>
      <w:r w:rsidR="00B20F6E">
        <w:rPr>
          <w:lang w:val="en-GB"/>
        </w:rPr>
        <w:t xml:space="preserve"> in the </w:t>
      </w:r>
      <w:r w:rsidR="00BE7C2C">
        <w:rPr>
          <w:lang w:val="en-GB"/>
        </w:rPr>
        <w:t xml:space="preserve">– </w:t>
      </w:r>
      <w:r w:rsidR="00B20F6E">
        <w:rPr>
          <w:lang w:val="en-GB"/>
        </w:rPr>
        <w:t>now distant</w:t>
      </w:r>
      <w:r w:rsidR="009057F3">
        <w:rPr>
          <w:lang w:val="en-GB"/>
        </w:rPr>
        <w:t xml:space="preserve"> </w:t>
      </w:r>
      <w:r w:rsidR="00BE7C2C">
        <w:rPr>
          <w:lang w:val="en-GB"/>
        </w:rPr>
        <w:t xml:space="preserve">– year </w:t>
      </w:r>
      <w:r w:rsidR="009057F3">
        <w:rPr>
          <w:lang w:val="en-GB"/>
        </w:rPr>
        <w:t>2015</w:t>
      </w:r>
      <w:r>
        <w:rPr>
          <w:lang w:val="en-GB"/>
        </w:rPr>
        <w:t>,</w:t>
      </w:r>
      <w:r w:rsidR="009057F3">
        <w:rPr>
          <w:lang w:val="en-GB"/>
        </w:rPr>
        <w:t xml:space="preserve"> when Mr. N.W. </w:t>
      </w:r>
      <w:r w:rsidR="00750C4D">
        <w:rPr>
          <w:lang w:val="en-GB"/>
        </w:rPr>
        <w:t>started proceedings</w:t>
      </w:r>
      <w:r w:rsidR="009057F3">
        <w:rPr>
          <w:lang w:val="en-GB"/>
        </w:rPr>
        <w:t xml:space="preserve"> before the EUIPO in order to obtain a declaration of invalidity of the international trademark </w:t>
      </w:r>
      <w:r w:rsidR="00BE7C2C">
        <w:rPr>
          <w:lang w:val="en-GB"/>
        </w:rPr>
        <w:t xml:space="preserve">protecting the pattern of the fabric “Damier Azur” as distinctive sign for bags and luggage, which was </w:t>
      </w:r>
      <w:r w:rsidR="009057F3">
        <w:rPr>
          <w:lang w:val="en-GB"/>
        </w:rPr>
        <w:t>regis</w:t>
      </w:r>
      <w:r w:rsidR="00792E33">
        <w:rPr>
          <w:lang w:val="en-GB"/>
        </w:rPr>
        <w:t>tered by LV in 2008 and designat</w:t>
      </w:r>
      <w:r w:rsidR="00BE7C2C">
        <w:rPr>
          <w:lang w:val="en-GB"/>
        </w:rPr>
        <w:t>ed</w:t>
      </w:r>
      <w:r w:rsidR="00750C4D">
        <w:rPr>
          <w:lang w:val="en-GB"/>
        </w:rPr>
        <w:t>, inter alia,</w:t>
      </w:r>
      <w:r w:rsidR="00792E33">
        <w:rPr>
          <w:lang w:val="en-GB"/>
        </w:rPr>
        <w:t xml:space="preserve"> </w:t>
      </w:r>
      <w:r>
        <w:rPr>
          <w:lang w:val="en-GB"/>
        </w:rPr>
        <w:t>the European</w:t>
      </w:r>
      <w:r w:rsidR="00792E33">
        <w:rPr>
          <w:lang w:val="en-GB"/>
        </w:rPr>
        <w:t xml:space="preserve"> Union</w:t>
      </w:r>
      <w:r w:rsidR="00A576F4">
        <w:rPr>
          <w:lang w:val="en-GB"/>
        </w:rPr>
        <w:t>.</w:t>
      </w:r>
    </w:p>
    <w:p w14:paraId="7FC68623" w14:textId="0CF3604C" w:rsidR="002E573A" w:rsidRDefault="00A576F4" w:rsidP="002C6812">
      <w:pPr>
        <w:jc w:val="both"/>
        <w:rPr>
          <w:lang w:val="en-GB"/>
        </w:rPr>
      </w:pPr>
      <w:r>
        <w:rPr>
          <w:lang w:val="en-GB"/>
        </w:rPr>
        <w:t xml:space="preserve">LV </w:t>
      </w:r>
      <w:r w:rsidR="00750C4D">
        <w:rPr>
          <w:lang w:val="en-GB"/>
        </w:rPr>
        <w:t>los</w:t>
      </w:r>
      <w:r w:rsidR="00BE7C2C">
        <w:rPr>
          <w:lang w:val="en-GB"/>
        </w:rPr>
        <w:t>t</w:t>
      </w:r>
      <w:r>
        <w:rPr>
          <w:lang w:val="en-GB"/>
        </w:rPr>
        <w:t xml:space="preserve"> the first round and, in 2016, the trademark </w:t>
      </w:r>
      <w:r w:rsidR="00BE7C2C">
        <w:rPr>
          <w:lang w:val="en-GB"/>
        </w:rPr>
        <w:t>was</w:t>
      </w:r>
      <w:r>
        <w:rPr>
          <w:lang w:val="en-GB"/>
        </w:rPr>
        <w:t xml:space="preserve"> declared invalid for lack of </w:t>
      </w:r>
      <w:r w:rsidR="00391430">
        <w:rPr>
          <w:lang w:val="en-GB"/>
        </w:rPr>
        <w:t>distinctive</w:t>
      </w:r>
      <w:r>
        <w:rPr>
          <w:lang w:val="en-GB"/>
        </w:rPr>
        <w:t xml:space="preserve"> character. The Maison</w:t>
      </w:r>
      <w:r w:rsidR="00391430">
        <w:rPr>
          <w:lang w:val="en-GB"/>
        </w:rPr>
        <w:t xml:space="preserve"> appea</w:t>
      </w:r>
      <w:r w:rsidR="00750C4D">
        <w:rPr>
          <w:lang w:val="en-GB"/>
        </w:rPr>
        <w:t>l</w:t>
      </w:r>
      <w:r w:rsidR="00BE7C2C">
        <w:rPr>
          <w:lang w:val="en-GB"/>
        </w:rPr>
        <w:t>ed</w:t>
      </w:r>
      <w:r w:rsidR="00391430">
        <w:rPr>
          <w:lang w:val="en-GB"/>
        </w:rPr>
        <w:t xml:space="preserve"> the decision</w:t>
      </w:r>
      <w:r w:rsidR="00BE7C2C">
        <w:rPr>
          <w:lang w:val="en-GB"/>
        </w:rPr>
        <w:t>,</w:t>
      </w:r>
      <w:r w:rsidR="00391430">
        <w:rPr>
          <w:lang w:val="en-GB"/>
        </w:rPr>
        <w:t xml:space="preserve"> claiming that the contested mark ha</w:t>
      </w:r>
      <w:r w:rsidR="00BE7C2C">
        <w:rPr>
          <w:lang w:val="en-GB"/>
        </w:rPr>
        <w:t>d</w:t>
      </w:r>
      <w:r w:rsidR="00DB2C2D">
        <w:rPr>
          <w:lang w:val="en-GB"/>
        </w:rPr>
        <w:t xml:space="preserve"> acquired</w:t>
      </w:r>
      <w:r w:rsidR="00391430">
        <w:rPr>
          <w:lang w:val="en-GB"/>
        </w:rPr>
        <w:t xml:space="preserve"> distinctive character through use. However, the second round </w:t>
      </w:r>
      <w:r w:rsidR="00BE7C2C">
        <w:rPr>
          <w:lang w:val="en-GB"/>
        </w:rPr>
        <w:t>was similarly</w:t>
      </w:r>
      <w:r w:rsidR="00391430">
        <w:rPr>
          <w:lang w:val="en-GB"/>
        </w:rPr>
        <w:t xml:space="preserve"> </w:t>
      </w:r>
      <w:r w:rsidR="00750C4D">
        <w:rPr>
          <w:lang w:val="en-GB"/>
        </w:rPr>
        <w:t>un</w:t>
      </w:r>
      <w:r w:rsidR="00391430">
        <w:rPr>
          <w:lang w:val="en-GB"/>
        </w:rPr>
        <w:t>successful because, in 2018, the EUIPO</w:t>
      </w:r>
      <w:r w:rsidR="00EF3C26">
        <w:rPr>
          <w:lang w:val="en-GB"/>
        </w:rPr>
        <w:t xml:space="preserve"> </w:t>
      </w:r>
      <w:r w:rsidR="00BE7C2C">
        <w:rPr>
          <w:lang w:val="en-GB"/>
        </w:rPr>
        <w:t xml:space="preserve">held </w:t>
      </w:r>
      <w:r w:rsidR="00EF3C26">
        <w:rPr>
          <w:lang w:val="en-GB"/>
        </w:rPr>
        <w:t xml:space="preserve">that </w:t>
      </w:r>
      <w:r w:rsidR="00BE7C2C">
        <w:rPr>
          <w:lang w:val="en-GB"/>
        </w:rPr>
        <w:t xml:space="preserve">the </w:t>
      </w:r>
      <w:r w:rsidR="00D90886">
        <w:rPr>
          <w:lang w:val="en-GB"/>
        </w:rPr>
        <w:t>evidence</w:t>
      </w:r>
      <w:r w:rsidR="00BE7C2C">
        <w:rPr>
          <w:lang w:val="en-GB"/>
        </w:rPr>
        <w:t xml:space="preserve"> provided by LV</w:t>
      </w:r>
      <w:r w:rsidR="00D90886">
        <w:rPr>
          <w:lang w:val="en-GB"/>
        </w:rPr>
        <w:t xml:space="preserve"> did not substantiate distinctive character acquired though use of the</w:t>
      </w:r>
      <w:r w:rsidR="00EF3C26">
        <w:rPr>
          <w:lang w:val="en-GB"/>
        </w:rPr>
        <w:t xml:space="preserve"> fabric “Damier Azur”</w:t>
      </w:r>
      <w:r w:rsidR="00D90886">
        <w:rPr>
          <w:lang w:val="en-GB"/>
        </w:rPr>
        <w:t>.</w:t>
      </w:r>
      <w:r w:rsidR="002E573A">
        <w:rPr>
          <w:lang w:val="en-GB"/>
        </w:rPr>
        <w:t xml:space="preserve"> </w:t>
      </w:r>
      <w:r w:rsidR="00BE7C2C">
        <w:rPr>
          <w:lang w:val="en-GB"/>
        </w:rPr>
        <w:t>Accordingly</w:t>
      </w:r>
      <w:r w:rsidR="002E573A">
        <w:rPr>
          <w:lang w:val="en-GB"/>
        </w:rPr>
        <w:t>, in 2019 LV</w:t>
      </w:r>
      <w:r w:rsidR="003F6327">
        <w:rPr>
          <w:lang w:val="en-GB"/>
        </w:rPr>
        <w:t xml:space="preserve"> turns to the European Court of Justice</w:t>
      </w:r>
      <w:r w:rsidR="00650D9C">
        <w:rPr>
          <w:lang w:val="en-GB"/>
        </w:rPr>
        <w:t>,</w:t>
      </w:r>
      <w:r w:rsidR="003F6327">
        <w:rPr>
          <w:lang w:val="en-GB"/>
        </w:rPr>
        <w:t xml:space="preserve"> finally obtaining a result</w:t>
      </w:r>
      <w:r w:rsidR="00650D9C">
        <w:rPr>
          <w:lang w:val="en-GB"/>
        </w:rPr>
        <w:t xml:space="preserve"> that</w:t>
      </w:r>
      <w:r w:rsidR="003F6327">
        <w:rPr>
          <w:lang w:val="en-GB"/>
        </w:rPr>
        <w:t xml:space="preserve"> show</w:t>
      </w:r>
      <w:r w:rsidR="00650D9C">
        <w:rPr>
          <w:lang w:val="en-GB"/>
        </w:rPr>
        <w:t>s</w:t>
      </w:r>
      <w:r w:rsidR="003F6327">
        <w:rPr>
          <w:lang w:val="en-GB"/>
        </w:rPr>
        <w:t xml:space="preserve"> that the game is not over yet</w:t>
      </w:r>
      <w:r w:rsidR="00650D9C">
        <w:rPr>
          <w:lang w:val="en-GB"/>
        </w:rPr>
        <w:t>:</w:t>
      </w:r>
      <w:r w:rsidR="003F6327">
        <w:rPr>
          <w:lang w:val="en-GB"/>
        </w:rPr>
        <w:t xml:space="preserve"> the General Court </w:t>
      </w:r>
      <w:r w:rsidR="00650D9C">
        <w:rPr>
          <w:lang w:val="en-GB"/>
        </w:rPr>
        <w:t xml:space="preserve">held </w:t>
      </w:r>
      <w:r w:rsidR="003F6327">
        <w:rPr>
          <w:lang w:val="en-GB"/>
        </w:rPr>
        <w:t xml:space="preserve">that </w:t>
      </w:r>
      <w:r w:rsidR="005D1B20">
        <w:rPr>
          <w:lang w:val="en-GB"/>
        </w:rPr>
        <w:t>during the appeal stage</w:t>
      </w:r>
      <w:r w:rsidR="00650D9C">
        <w:rPr>
          <w:lang w:val="en-GB"/>
        </w:rPr>
        <w:t>,</w:t>
      </w:r>
      <w:r w:rsidR="005D1B20">
        <w:rPr>
          <w:lang w:val="en-GB"/>
        </w:rPr>
        <w:t xml:space="preserve"> the EUIPO failed to examine all the relevant evidence and to carry out an overall assessment of that evidence</w:t>
      </w:r>
      <w:r w:rsidR="00650D9C">
        <w:rPr>
          <w:lang w:val="en-GB"/>
        </w:rPr>
        <w:t>, and remanded the case to the EUIPO</w:t>
      </w:r>
      <w:r w:rsidR="005D1B20">
        <w:rPr>
          <w:lang w:val="en-GB"/>
        </w:rPr>
        <w:t>.</w:t>
      </w:r>
      <w:r w:rsidR="00C879FD">
        <w:rPr>
          <w:lang w:val="en-GB"/>
        </w:rPr>
        <w:t xml:space="preserve"> Taking into account the indications provided by the court, the EUIPO </w:t>
      </w:r>
      <w:r w:rsidR="00650D9C">
        <w:rPr>
          <w:lang w:val="en-GB"/>
        </w:rPr>
        <w:t>revisited</w:t>
      </w:r>
      <w:r w:rsidR="00C879FD">
        <w:rPr>
          <w:lang w:val="en-GB"/>
        </w:rPr>
        <w:t xml:space="preserve"> the issue in 2020, but</w:t>
      </w:r>
      <w:r w:rsidR="00D90886">
        <w:rPr>
          <w:lang w:val="en-GB"/>
        </w:rPr>
        <w:t xml:space="preserve">, </w:t>
      </w:r>
      <w:r w:rsidR="00C879FD">
        <w:rPr>
          <w:lang w:val="en-GB"/>
        </w:rPr>
        <w:t>a</w:t>
      </w:r>
      <w:r w:rsidR="00750C4D">
        <w:rPr>
          <w:lang w:val="en-GB"/>
        </w:rPr>
        <w:t>gain</w:t>
      </w:r>
      <w:r w:rsidR="00D90886">
        <w:rPr>
          <w:lang w:val="en-GB"/>
        </w:rPr>
        <w:t>,</w:t>
      </w:r>
      <w:r w:rsidR="00C879FD">
        <w:rPr>
          <w:lang w:val="en-GB"/>
        </w:rPr>
        <w:t xml:space="preserve"> the Board of Appeal </w:t>
      </w:r>
      <w:r w:rsidR="00650D9C">
        <w:rPr>
          <w:lang w:val="en-GB"/>
        </w:rPr>
        <w:t>came to the conclusion that LV did not demonstrate that the pattern “Damier Azur” had</w:t>
      </w:r>
      <w:r w:rsidR="00C879FD">
        <w:rPr>
          <w:lang w:val="en-GB"/>
        </w:rPr>
        <w:t xml:space="preserve"> acqui</w:t>
      </w:r>
      <w:r w:rsidR="00650D9C">
        <w:rPr>
          <w:lang w:val="en-GB"/>
        </w:rPr>
        <w:t>red</w:t>
      </w:r>
      <w:r w:rsidR="00C879FD">
        <w:rPr>
          <w:lang w:val="en-GB"/>
        </w:rPr>
        <w:t xml:space="preserve"> distinctive character.</w:t>
      </w:r>
    </w:p>
    <w:p w14:paraId="6E35C474" w14:textId="6BDF7692" w:rsidR="00EF3C26" w:rsidRDefault="00650D9C" w:rsidP="002C6812">
      <w:pPr>
        <w:jc w:val="both"/>
        <w:rPr>
          <w:lang w:val="en-GB"/>
        </w:rPr>
      </w:pPr>
      <w:r>
        <w:rPr>
          <w:lang w:val="en-GB"/>
        </w:rPr>
        <w:t>This brings us</w:t>
      </w:r>
      <w:r w:rsidR="002E573A">
        <w:rPr>
          <w:lang w:val="en-GB"/>
        </w:rPr>
        <w:t xml:space="preserve"> to the </w:t>
      </w:r>
      <w:r w:rsidR="00B84CD2">
        <w:rPr>
          <w:lang w:val="en-GB"/>
        </w:rPr>
        <w:t>fifth round</w:t>
      </w:r>
      <w:r>
        <w:rPr>
          <w:lang w:val="en-GB"/>
        </w:rPr>
        <w:t>. Following a second appeal by LV to the CJEU, the General Court delivered</w:t>
      </w:r>
      <w:r w:rsidR="00B84CD2">
        <w:rPr>
          <w:lang w:val="en-GB"/>
        </w:rPr>
        <w:t xml:space="preserve"> the </w:t>
      </w:r>
      <w:r>
        <w:rPr>
          <w:lang w:val="en-GB"/>
        </w:rPr>
        <w:t xml:space="preserve">decision </w:t>
      </w:r>
      <w:r w:rsidR="002A2DB2">
        <w:rPr>
          <w:lang w:val="en-GB"/>
        </w:rPr>
        <w:t xml:space="preserve">at </w:t>
      </w:r>
      <w:r>
        <w:rPr>
          <w:lang w:val="en-GB"/>
        </w:rPr>
        <w:t>issue</w:t>
      </w:r>
      <w:r w:rsidR="00B84CD2">
        <w:rPr>
          <w:lang w:val="en-GB"/>
        </w:rPr>
        <w:t xml:space="preserve">, </w:t>
      </w:r>
      <w:r w:rsidR="00E16766">
        <w:rPr>
          <w:lang w:val="en-GB"/>
        </w:rPr>
        <w:t>i.e.,</w:t>
      </w:r>
      <w:r w:rsidR="00B84CD2">
        <w:rPr>
          <w:lang w:val="en-GB"/>
        </w:rPr>
        <w:t xml:space="preserve"> case T-275/21 of October 19, 2022</w:t>
      </w:r>
      <w:r w:rsidR="00817757">
        <w:rPr>
          <w:lang w:val="en-GB"/>
        </w:rPr>
        <w:t xml:space="preserve"> </w:t>
      </w:r>
      <w:r>
        <w:rPr>
          <w:lang w:val="en-GB"/>
        </w:rPr>
        <w:t>in</w:t>
      </w:r>
      <w:r w:rsidR="00817757">
        <w:rPr>
          <w:lang w:val="en-GB"/>
        </w:rPr>
        <w:t xml:space="preserve"> which, </w:t>
      </w:r>
      <w:r>
        <w:rPr>
          <w:lang w:val="en-GB"/>
        </w:rPr>
        <w:t>this time</w:t>
      </w:r>
      <w:r w:rsidR="00817757">
        <w:rPr>
          <w:lang w:val="en-GB"/>
        </w:rPr>
        <w:t xml:space="preserve">, the court rejects LV’s claims. </w:t>
      </w:r>
      <w:r w:rsidR="002C6812">
        <w:rPr>
          <w:lang w:val="en-GB"/>
        </w:rPr>
        <w:t xml:space="preserve">Apart from the disappointing result for LV, the decision is </w:t>
      </w:r>
      <w:r>
        <w:rPr>
          <w:lang w:val="en-GB"/>
        </w:rPr>
        <w:t>quite</w:t>
      </w:r>
      <w:r w:rsidR="002C6812">
        <w:rPr>
          <w:lang w:val="en-GB"/>
        </w:rPr>
        <w:t xml:space="preserve"> interesting and, it is very likely that it will </w:t>
      </w:r>
      <w:r>
        <w:rPr>
          <w:lang w:val="en-GB"/>
        </w:rPr>
        <w:t xml:space="preserve">set a new direction </w:t>
      </w:r>
      <w:r w:rsidR="002C6812">
        <w:rPr>
          <w:lang w:val="en-GB"/>
        </w:rPr>
        <w:t xml:space="preserve">for future rulings on the </w:t>
      </w:r>
      <w:r w:rsidR="002A2DB2">
        <w:rPr>
          <w:lang w:val="en-GB"/>
        </w:rPr>
        <w:t>issue</w:t>
      </w:r>
      <w:r w:rsidR="002C6812">
        <w:rPr>
          <w:lang w:val="en-GB"/>
        </w:rPr>
        <w:t xml:space="preserve"> of secondary meaning.</w:t>
      </w:r>
    </w:p>
    <w:p w14:paraId="1B630DE1" w14:textId="10338F65" w:rsidR="0097187E" w:rsidRDefault="00650D9C" w:rsidP="002C6812">
      <w:pPr>
        <w:jc w:val="both"/>
        <w:rPr>
          <w:lang w:val="en-GB"/>
        </w:rPr>
      </w:pPr>
      <w:r>
        <w:rPr>
          <w:lang w:val="en-GB"/>
        </w:rPr>
        <w:t>I</w:t>
      </w:r>
      <w:r w:rsidR="00961A52">
        <w:rPr>
          <w:lang w:val="en-GB"/>
        </w:rPr>
        <w:t xml:space="preserve">t is apparent from the decision </w:t>
      </w:r>
      <w:r>
        <w:rPr>
          <w:lang w:val="en-GB"/>
        </w:rPr>
        <w:t>that</w:t>
      </w:r>
      <w:r w:rsidR="00961A52">
        <w:rPr>
          <w:lang w:val="en-GB"/>
        </w:rPr>
        <w:t xml:space="preserve"> the unitary character </w:t>
      </w:r>
      <w:r w:rsidR="0057407D">
        <w:rPr>
          <w:lang w:val="en-GB"/>
        </w:rPr>
        <w:t>of the E</w:t>
      </w:r>
      <w:r>
        <w:rPr>
          <w:lang w:val="en-GB"/>
        </w:rPr>
        <w:t>U</w:t>
      </w:r>
      <w:r w:rsidR="0057407D">
        <w:rPr>
          <w:lang w:val="en-GB"/>
        </w:rPr>
        <w:t xml:space="preserve"> trademark</w:t>
      </w:r>
      <w:r>
        <w:rPr>
          <w:lang w:val="en-GB"/>
        </w:rPr>
        <w:t xml:space="preserve"> is of the utmost importance. </w:t>
      </w:r>
      <w:r w:rsidR="0057407D">
        <w:rPr>
          <w:lang w:val="en-GB"/>
        </w:rPr>
        <w:t xml:space="preserve"> </w:t>
      </w:r>
      <w:r>
        <w:rPr>
          <w:lang w:val="en-GB"/>
        </w:rPr>
        <w:t xml:space="preserve">Indeed, </w:t>
      </w:r>
      <w:r w:rsidR="0057407D">
        <w:rPr>
          <w:lang w:val="en-GB"/>
        </w:rPr>
        <w:t xml:space="preserve">the </w:t>
      </w:r>
      <w:r w:rsidR="00231107">
        <w:rPr>
          <w:lang w:val="en-GB"/>
        </w:rPr>
        <w:t xml:space="preserve">General Court </w:t>
      </w:r>
      <w:r w:rsidR="0057407D">
        <w:rPr>
          <w:lang w:val="en-GB"/>
        </w:rPr>
        <w:t xml:space="preserve">has provided useful guidance to </w:t>
      </w:r>
      <w:r>
        <w:rPr>
          <w:lang w:val="en-GB"/>
        </w:rPr>
        <w:t xml:space="preserve">those </w:t>
      </w:r>
      <w:r w:rsidR="0057407D">
        <w:rPr>
          <w:lang w:val="en-GB"/>
        </w:rPr>
        <w:t>in the future</w:t>
      </w:r>
      <w:r>
        <w:rPr>
          <w:lang w:val="en-GB"/>
        </w:rPr>
        <w:t xml:space="preserve"> that seek </w:t>
      </w:r>
      <w:r w:rsidR="0057407D">
        <w:rPr>
          <w:lang w:val="en-GB"/>
        </w:rPr>
        <w:t xml:space="preserve">to obtain a decision assessing distinctive character through use </w:t>
      </w:r>
      <w:r w:rsidR="00231107">
        <w:rPr>
          <w:lang w:val="en-GB"/>
        </w:rPr>
        <w:t xml:space="preserve">of a mark as </w:t>
      </w:r>
      <w:r w:rsidR="0057407D">
        <w:rPr>
          <w:lang w:val="en-GB"/>
        </w:rPr>
        <w:t xml:space="preserve">set out in articles </w:t>
      </w:r>
      <w:r w:rsidR="0057407D" w:rsidRPr="0057407D">
        <w:rPr>
          <w:lang w:val="en-GB"/>
        </w:rPr>
        <w:t xml:space="preserve">7(3) </w:t>
      </w:r>
      <w:r w:rsidR="0057407D">
        <w:rPr>
          <w:lang w:val="en-GB"/>
        </w:rPr>
        <w:t>and</w:t>
      </w:r>
      <w:r w:rsidR="0057407D" w:rsidRPr="0057407D">
        <w:rPr>
          <w:lang w:val="en-GB"/>
        </w:rPr>
        <w:t xml:space="preserve"> 59(2)</w:t>
      </w:r>
      <w:r w:rsidR="0057407D">
        <w:rPr>
          <w:lang w:val="en-GB"/>
        </w:rPr>
        <w:t xml:space="preserve"> of Regulation </w:t>
      </w:r>
      <w:r w:rsidR="0057407D" w:rsidRPr="0057407D">
        <w:rPr>
          <w:lang w:val="en-GB"/>
        </w:rPr>
        <w:t>2017/1001</w:t>
      </w:r>
      <w:r w:rsidR="0057407D">
        <w:rPr>
          <w:lang w:val="en-GB"/>
        </w:rPr>
        <w:t>.</w:t>
      </w:r>
    </w:p>
    <w:p w14:paraId="6038B8E7" w14:textId="112D3AD9" w:rsidR="008B74EA" w:rsidRDefault="008B74EA" w:rsidP="002C6812">
      <w:pPr>
        <w:jc w:val="both"/>
        <w:rPr>
          <w:b/>
          <w:bCs/>
          <w:u w:val="single"/>
          <w:lang w:val="en-GB"/>
        </w:rPr>
      </w:pPr>
      <w:r w:rsidRPr="008B74EA">
        <w:rPr>
          <w:b/>
          <w:bCs/>
          <w:u w:val="single"/>
          <w:lang w:val="en-GB"/>
        </w:rPr>
        <w:t xml:space="preserve">The </w:t>
      </w:r>
      <w:r w:rsidR="00231107" w:rsidRPr="008B74EA">
        <w:rPr>
          <w:b/>
          <w:bCs/>
          <w:u w:val="single"/>
          <w:lang w:val="en-GB"/>
        </w:rPr>
        <w:t>typ</w:t>
      </w:r>
      <w:r w:rsidR="00A647D1">
        <w:rPr>
          <w:b/>
          <w:bCs/>
          <w:u w:val="single"/>
          <w:lang w:val="en-GB"/>
        </w:rPr>
        <w:t>e</w:t>
      </w:r>
      <w:r w:rsidRPr="008B74EA">
        <w:rPr>
          <w:b/>
          <w:bCs/>
          <w:u w:val="single"/>
          <w:lang w:val="en-GB"/>
        </w:rPr>
        <w:t xml:space="preserve"> of evidence necessary to </w:t>
      </w:r>
      <w:r w:rsidR="00231107">
        <w:rPr>
          <w:b/>
          <w:bCs/>
          <w:u w:val="single"/>
          <w:lang w:val="en-GB"/>
        </w:rPr>
        <w:t xml:space="preserve">demonstrate </w:t>
      </w:r>
      <w:r w:rsidRPr="008B74EA">
        <w:rPr>
          <w:b/>
          <w:bCs/>
          <w:u w:val="single"/>
          <w:lang w:val="en-GB"/>
        </w:rPr>
        <w:t>the acqui</w:t>
      </w:r>
      <w:r w:rsidR="00231107">
        <w:rPr>
          <w:b/>
          <w:bCs/>
          <w:u w:val="single"/>
          <w:lang w:val="en-GB"/>
        </w:rPr>
        <w:t xml:space="preserve">sition </w:t>
      </w:r>
      <w:r w:rsidRPr="008B74EA">
        <w:rPr>
          <w:b/>
          <w:bCs/>
          <w:u w:val="single"/>
          <w:lang w:val="en-GB"/>
        </w:rPr>
        <w:t>of distinctive character</w:t>
      </w:r>
      <w:r w:rsidR="00231107">
        <w:rPr>
          <w:b/>
          <w:bCs/>
          <w:u w:val="single"/>
          <w:lang w:val="en-GB"/>
        </w:rPr>
        <w:t xml:space="preserve"> through use</w:t>
      </w:r>
      <w:r w:rsidRPr="008B74EA">
        <w:rPr>
          <w:b/>
          <w:bCs/>
          <w:u w:val="single"/>
          <w:lang w:val="en-GB"/>
        </w:rPr>
        <w:t xml:space="preserve"> </w:t>
      </w:r>
    </w:p>
    <w:p w14:paraId="32E8EA64" w14:textId="094332F1" w:rsidR="00A952F6" w:rsidRDefault="00A647D1" w:rsidP="002C6812">
      <w:pPr>
        <w:jc w:val="both"/>
        <w:rPr>
          <w:lang w:val="en-GB"/>
        </w:rPr>
      </w:pPr>
      <w:r>
        <w:rPr>
          <w:lang w:val="en-GB"/>
        </w:rPr>
        <w:t>As a useful starting point, in the decision, the General Court provides a list of examples</w:t>
      </w:r>
      <w:r w:rsidR="00A952F6">
        <w:rPr>
          <w:lang w:val="en-GB"/>
        </w:rPr>
        <w:t xml:space="preserve"> of evidence</w:t>
      </w:r>
      <w:r>
        <w:rPr>
          <w:lang w:val="en-GB"/>
        </w:rPr>
        <w:t xml:space="preserve"> that are indicated as</w:t>
      </w:r>
      <w:r w:rsidR="00A952F6">
        <w:rPr>
          <w:lang w:val="en-GB"/>
        </w:rPr>
        <w:t xml:space="preserve"> useful to show that the public can </w:t>
      </w:r>
      <w:r w:rsidR="00EC10E8">
        <w:rPr>
          <w:lang w:val="en-GB"/>
        </w:rPr>
        <w:t>associate a</w:t>
      </w:r>
      <w:r w:rsidR="00A952F6">
        <w:rPr>
          <w:lang w:val="en-GB"/>
        </w:rPr>
        <w:t xml:space="preserve"> certain sign </w:t>
      </w:r>
      <w:r>
        <w:rPr>
          <w:lang w:val="en-GB"/>
        </w:rPr>
        <w:t>with</w:t>
      </w:r>
      <w:r w:rsidR="00A952F6">
        <w:rPr>
          <w:lang w:val="en-GB"/>
        </w:rPr>
        <w:t xml:space="preserve"> a specifi</w:t>
      </w:r>
      <w:r w:rsidR="00231107">
        <w:rPr>
          <w:lang w:val="en-GB"/>
        </w:rPr>
        <w:t>c</w:t>
      </w:r>
      <w:r w:rsidR="00A952F6">
        <w:rPr>
          <w:lang w:val="en-GB"/>
        </w:rPr>
        <w:t xml:space="preserve"> source of origin:</w:t>
      </w:r>
    </w:p>
    <w:p w14:paraId="07F2D7D9" w14:textId="6C7DB00D" w:rsidR="00A952F6" w:rsidRDefault="00A952F6" w:rsidP="00A952F6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Documents </w:t>
      </w:r>
      <w:r w:rsidR="00EC10E8">
        <w:rPr>
          <w:lang w:val="en-GB"/>
        </w:rPr>
        <w:t>containing information as to</w:t>
      </w:r>
      <w:r>
        <w:rPr>
          <w:lang w:val="en-GB"/>
        </w:rPr>
        <w:t xml:space="preserve"> the market shares </w:t>
      </w:r>
      <w:r w:rsidR="00EC10E8">
        <w:rPr>
          <w:lang w:val="en-GB"/>
        </w:rPr>
        <w:t>of</w:t>
      </w:r>
      <w:r>
        <w:rPr>
          <w:lang w:val="en-GB"/>
        </w:rPr>
        <w:t xml:space="preserve"> the </w:t>
      </w:r>
      <w:r w:rsidR="00EC10E8">
        <w:rPr>
          <w:lang w:val="en-GB"/>
        </w:rPr>
        <w:t>relevant</w:t>
      </w:r>
      <w:r>
        <w:rPr>
          <w:lang w:val="en-GB"/>
        </w:rPr>
        <w:t xml:space="preserve"> trademar</w:t>
      </w:r>
      <w:r w:rsidR="0008680B">
        <w:rPr>
          <w:lang w:val="en-GB"/>
        </w:rPr>
        <w:t>k</w:t>
      </w:r>
      <w:r>
        <w:rPr>
          <w:lang w:val="en-GB"/>
        </w:rPr>
        <w:t xml:space="preserve"> (intensity of use, geographic </w:t>
      </w:r>
      <w:r w:rsidR="00F04E3D">
        <w:rPr>
          <w:lang w:val="en-GB"/>
        </w:rPr>
        <w:t>widespread</w:t>
      </w:r>
      <w:r>
        <w:rPr>
          <w:lang w:val="en-GB"/>
        </w:rPr>
        <w:t xml:space="preserve"> and </w:t>
      </w:r>
      <w:r w:rsidR="00EC10E8">
        <w:rPr>
          <w:lang w:val="en-GB"/>
        </w:rPr>
        <w:t>long-standi</w:t>
      </w:r>
      <w:r w:rsidR="00F04E3D">
        <w:rPr>
          <w:lang w:val="en-GB"/>
        </w:rPr>
        <w:t>ng</w:t>
      </w:r>
      <w:r w:rsidR="00EC10E8">
        <w:rPr>
          <w:lang w:val="en-GB"/>
        </w:rPr>
        <w:t xml:space="preserve"> use </w:t>
      </w:r>
      <w:r w:rsidR="0008680B">
        <w:rPr>
          <w:lang w:val="en-GB"/>
        </w:rPr>
        <w:t>are fundamental factor for the assessment);</w:t>
      </w:r>
    </w:p>
    <w:p w14:paraId="046B05E2" w14:textId="759ED6DB" w:rsidR="0008680B" w:rsidRDefault="0008680B" w:rsidP="00A952F6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Sale invoices;</w:t>
      </w:r>
    </w:p>
    <w:p w14:paraId="69A58E8F" w14:textId="0617E36B" w:rsidR="0008680B" w:rsidRDefault="0008680B" w:rsidP="00A952F6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Extracts of catalogues and advertising material;</w:t>
      </w:r>
    </w:p>
    <w:p w14:paraId="5D7C2ACE" w14:textId="32B0FC4E" w:rsidR="00905C34" w:rsidRDefault="00F04E3D" w:rsidP="00A952F6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lastRenderedPageBreak/>
        <w:t>Statements</w:t>
      </w:r>
      <w:r w:rsidR="00905C34">
        <w:rPr>
          <w:lang w:val="en-GB"/>
        </w:rPr>
        <w:t xml:space="preserve"> confirming the distribution of advertising material</w:t>
      </w:r>
      <w:r>
        <w:rPr>
          <w:lang w:val="en-GB"/>
        </w:rPr>
        <w:t>;</w:t>
      </w:r>
    </w:p>
    <w:p w14:paraId="7A18A2C8" w14:textId="5AE3C73F" w:rsidR="00905C34" w:rsidRDefault="00905C34" w:rsidP="00A952F6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Documents showing use of the trade mark on the web;</w:t>
      </w:r>
    </w:p>
    <w:p w14:paraId="6F5F9978" w14:textId="7205EB70" w:rsidR="00905C34" w:rsidRDefault="00F04E3D" w:rsidP="00A952F6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Expert</w:t>
      </w:r>
      <w:r w:rsidR="00905C34">
        <w:rPr>
          <w:lang w:val="en-GB"/>
        </w:rPr>
        <w:t xml:space="preserve"> </w:t>
      </w:r>
      <w:r>
        <w:rPr>
          <w:lang w:val="en-GB"/>
        </w:rPr>
        <w:t>statements;</w:t>
      </w:r>
    </w:p>
    <w:p w14:paraId="38364172" w14:textId="4ACC108E" w:rsidR="00905C34" w:rsidRDefault="00905C34" w:rsidP="00A952F6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Opinion polls</w:t>
      </w:r>
      <w:r w:rsidR="00F04E3D">
        <w:rPr>
          <w:lang w:val="en-GB"/>
        </w:rPr>
        <w:t>;</w:t>
      </w:r>
    </w:p>
    <w:p w14:paraId="6302FA87" w14:textId="6826281D" w:rsidR="00905C34" w:rsidRDefault="00F04E3D" w:rsidP="00A952F6">
      <w:pPr>
        <w:pStyle w:val="Paragrafoelenco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Documents relating to infringement proceedings concerning the contested mark.</w:t>
      </w:r>
    </w:p>
    <w:p w14:paraId="6E78BAD9" w14:textId="28A50CD9" w:rsidR="00905C34" w:rsidRDefault="00905C34" w:rsidP="00905C34">
      <w:pPr>
        <w:pStyle w:val="Paragrafoelenco"/>
        <w:jc w:val="both"/>
        <w:rPr>
          <w:lang w:val="en-GB"/>
        </w:rPr>
      </w:pPr>
    </w:p>
    <w:p w14:paraId="5EEA979A" w14:textId="3775B19B" w:rsidR="00905C34" w:rsidRPr="00BC5271" w:rsidRDefault="00FE5481" w:rsidP="00BC5271">
      <w:pPr>
        <w:jc w:val="both"/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T</w:t>
      </w:r>
      <w:r w:rsidR="00C46B35" w:rsidRPr="00BC5271">
        <w:rPr>
          <w:b/>
          <w:bCs/>
          <w:u w:val="single"/>
          <w:lang w:val="en-GB"/>
        </w:rPr>
        <w:t>he i</w:t>
      </w:r>
      <w:r w:rsidR="00905C34" w:rsidRPr="00BC5271">
        <w:rPr>
          <w:b/>
          <w:bCs/>
          <w:u w:val="single"/>
          <w:lang w:val="en-GB"/>
        </w:rPr>
        <w:t xml:space="preserve">ndications </w:t>
      </w:r>
      <w:r w:rsidR="00D16247" w:rsidRPr="00BC5271">
        <w:rPr>
          <w:b/>
          <w:bCs/>
          <w:u w:val="single"/>
          <w:lang w:val="en-GB"/>
        </w:rPr>
        <w:t>provide</w:t>
      </w:r>
      <w:r w:rsidR="00C46B35" w:rsidRPr="00BC5271">
        <w:rPr>
          <w:b/>
          <w:bCs/>
          <w:u w:val="single"/>
          <w:lang w:val="en-GB"/>
        </w:rPr>
        <w:t>d</w:t>
      </w:r>
      <w:r w:rsidR="00D16247" w:rsidRPr="00BC5271">
        <w:rPr>
          <w:b/>
          <w:bCs/>
          <w:u w:val="single"/>
          <w:lang w:val="en-GB"/>
        </w:rPr>
        <w:t xml:space="preserve"> </w:t>
      </w:r>
      <w:r w:rsidR="00C46B35" w:rsidRPr="00BC5271">
        <w:rPr>
          <w:b/>
          <w:bCs/>
          <w:u w:val="single"/>
          <w:lang w:val="en-GB"/>
        </w:rPr>
        <w:t>regarding</w:t>
      </w:r>
      <w:r w:rsidR="00D16247" w:rsidRPr="00BC5271">
        <w:rPr>
          <w:b/>
          <w:bCs/>
          <w:u w:val="single"/>
          <w:lang w:val="en-GB"/>
        </w:rPr>
        <w:t xml:space="preserve"> each type of evidence</w:t>
      </w:r>
    </w:p>
    <w:p w14:paraId="20119581" w14:textId="392B4E44" w:rsidR="00D16247" w:rsidRDefault="00A647D1" w:rsidP="00FE5481">
      <w:pPr>
        <w:jc w:val="both"/>
        <w:rPr>
          <w:lang w:val="en-GB"/>
        </w:rPr>
      </w:pPr>
      <w:r>
        <w:rPr>
          <w:lang w:val="en-GB"/>
        </w:rPr>
        <w:t xml:space="preserve">Then, </w:t>
      </w:r>
      <w:r w:rsidR="00D16247" w:rsidRPr="00BC5271">
        <w:rPr>
          <w:lang w:val="en-GB"/>
        </w:rPr>
        <w:t xml:space="preserve">the </w:t>
      </w:r>
      <w:r w:rsidR="003349CF">
        <w:rPr>
          <w:lang w:val="en-GB"/>
        </w:rPr>
        <w:t>General C</w:t>
      </w:r>
      <w:r w:rsidR="00D16247" w:rsidRPr="00BC5271">
        <w:rPr>
          <w:lang w:val="en-GB"/>
        </w:rPr>
        <w:t xml:space="preserve">ourt provided additional indications </w:t>
      </w:r>
      <w:r w:rsidR="00E16766" w:rsidRPr="00BC5271">
        <w:rPr>
          <w:lang w:val="en-GB"/>
        </w:rPr>
        <w:t>– some</w:t>
      </w:r>
      <w:r w:rsidR="00D16247" w:rsidRPr="00BC5271">
        <w:rPr>
          <w:lang w:val="en-GB"/>
        </w:rPr>
        <w:t xml:space="preserve"> </w:t>
      </w:r>
      <w:r w:rsidR="003349CF">
        <w:rPr>
          <w:lang w:val="en-GB"/>
        </w:rPr>
        <w:t xml:space="preserve">of them </w:t>
      </w:r>
      <w:r w:rsidR="00D16247" w:rsidRPr="00BC5271">
        <w:rPr>
          <w:lang w:val="en-GB"/>
        </w:rPr>
        <w:t xml:space="preserve">specifically </w:t>
      </w:r>
      <w:r>
        <w:rPr>
          <w:lang w:val="en-GB"/>
        </w:rPr>
        <w:t>applicable</w:t>
      </w:r>
      <w:r w:rsidRPr="00BC5271">
        <w:rPr>
          <w:lang w:val="en-GB"/>
        </w:rPr>
        <w:t xml:space="preserve"> </w:t>
      </w:r>
      <w:r w:rsidR="00D16247" w:rsidRPr="00BC5271">
        <w:rPr>
          <w:lang w:val="en-GB"/>
        </w:rPr>
        <w:t xml:space="preserve">to the luxury market – </w:t>
      </w:r>
      <w:r>
        <w:rPr>
          <w:lang w:val="en-GB"/>
        </w:rPr>
        <w:t xml:space="preserve">regarding the requirement of that </w:t>
      </w:r>
      <w:r w:rsidR="00D16247" w:rsidRPr="00BC5271">
        <w:rPr>
          <w:lang w:val="en-GB"/>
        </w:rPr>
        <w:t>the documents</w:t>
      </w:r>
      <w:r>
        <w:rPr>
          <w:lang w:val="en-GB"/>
        </w:rPr>
        <w:t xml:space="preserve"> listed above</w:t>
      </w:r>
      <w:r w:rsidR="00D16247" w:rsidRPr="00BC5271">
        <w:rPr>
          <w:lang w:val="en-GB"/>
        </w:rPr>
        <w:t xml:space="preserve"> be </w:t>
      </w:r>
      <w:r w:rsidR="00DE49DE">
        <w:rPr>
          <w:lang w:val="en-GB"/>
        </w:rPr>
        <w:t>sound and reliable</w:t>
      </w:r>
      <w:r w:rsidR="00D16247" w:rsidRPr="00BC5271">
        <w:rPr>
          <w:lang w:val="en-GB"/>
        </w:rPr>
        <w:t>.</w:t>
      </w:r>
    </w:p>
    <w:p w14:paraId="0B0F1C88" w14:textId="79008923" w:rsidR="00D16247" w:rsidRPr="00D16247" w:rsidRDefault="00A647D1" w:rsidP="00D16247">
      <w:pPr>
        <w:pStyle w:val="Paragrafoelenco"/>
        <w:numPr>
          <w:ilvl w:val="0"/>
          <w:numId w:val="2"/>
        </w:numPr>
        <w:jc w:val="both"/>
        <w:rPr>
          <w:u w:val="single"/>
          <w:lang w:val="en-GB"/>
        </w:rPr>
      </w:pPr>
      <w:r>
        <w:rPr>
          <w:u w:val="single"/>
          <w:lang w:val="en-GB"/>
        </w:rPr>
        <w:t>M</w:t>
      </w:r>
      <w:r w:rsidR="00D16247" w:rsidRPr="00D16247">
        <w:rPr>
          <w:u w:val="single"/>
          <w:lang w:val="en-GB"/>
        </w:rPr>
        <w:t>arket share</w:t>
      </w:r>
    </w:p>
    <w:p w14:paraId="242B62C2" w14:textId="5A555010" w:rsidR="00D16247" w:rsidRPr="00FA3D6D" w:rsidRDefault="00D16247" w:rsidP="00E16766">
      <w:pPr>
        <w:pStyle w:val="Paragrafoelenco"/>
        <w:ind w:left="1134"/>
        <w:jc w:val="both"/>
        <w:rPr>
          <w:lang w:val="en-GB"/>
        </w:rPr>
      </w:pPr>
      <w:r>
        <w:rPr>
          <w:lang w:val="en-GB"/>
        </w:rPr>
        <w:t>When the luxury market</w:t>
      </w:r>
      <w:r w:rsidR="00FA3D6D">
        <w:rPr>
          <w:lang w:val="en-GB"/>
        </w:rPr>
        <w:t xml:space="preserve"> is involved</w:t>
      </w:r>
      <w:r>
        <w:rPr>
          <w:lang w:val="en-GB"/>
        </w:rPr>
        <w:t xml:space="preserve">, </w:t>
      </w:r>
      <w:r w:rsidR="00FA3D6D">
        <w:rPr>
          <w:lang w:val="en-GB"/>
        </w:rPr>
        <w:t xml:space="preserve">even if the general public does not </w:t>
      </w:r>
      <w:r w:rsidR="00A647D1">
        <w:rPr>
          <w:lang w:val="en-GB"/>
        </w:rPr>
        <w:t xml:space="preserve">usually </w:t>
      </w:r>
      <w:r w:rsidR="00FA3D6D">
        <w:rPr>
          <w:lang w:val="en-GB"/>
        </w:rPr>
        <w:t>purchase this type of product, it is however possible to take into account that said public has nonetheless the perception and knowledge of the luxury mark</w:t>
      </w:r>
      <w:r w:rsidR="00BD0831">
        <w:rPr>
          <w:lang w:val="en-GB"/>
        </w:rPr>
        <w:t>et</w:t>
      </w:r>
      <w:r w:rsidR="00FA3D6D">
        <w:rPr>
          <w:lang w:val="en-GB"/>
        </w:rPr>
        <w:t xml:space="preserve"> a</w:t>
      </w:r>
      <w:r w:rsidR="00E16766">
        <w:rPr>
          <w:lang w:val="en-GB"/>
        </w:rPr>
        <w:t>n</w:t>
      </w:r>
      <w:r w:rsidR="00FA3D6D">
        <w:rPr>
          <w:lang w:val="en-GB"/>
        </w:rPr>
        <w:t xml:space="preserve">d, as a consequence, the market share emerging </w:t>
      </w:r>
      <w:commentRangeStart w:id="1"/>
      <w:r w:rsidR="00FA3D6D" w:rsidRPr="00FE5481">
        <w:rPr>
          <w:lang w:val="en-GB"/>
        </w:rPr>
        <w:t>from</w:t>
      </w:r>
      <w:commentRangeEnd w:id="1"/>
      <w:r w:rsidR="00A647D1" w:rsidRPr="00FE5481">
        <w:rPr>
          <w:rStyle w:val="Rimandocommento"/>
        </w:rPr>
        <w:commentReference w:id="1"/>
      </w:r>
      <w:r w:rsidR="00FA3D6D" w:rsidRPr="00FE5481">
        <w:rPr>
          <w:lang w:val="en-GB"/>
        </w:rPr>
        <w:t xml:space="preserve"> </w:t>
      </w:r>
      <w:r w:rsidR="00A647D1" w:rsidRPr="00FE5481">
        <w:rPr>
          <w:lang w:val="en-GB"/>
        </w:rPr>
        <w:t>how the sector is</w:t>
      </w:r>
      <w:r w:rsidR="00FA3D6D" w:rsidRPr="00FE5481">
        <w:rPr>
          <w:lang w:val="en-GB"/>
        </w:rPr>
        <w:t xml:space="preserve"> rank</w:t>
      </w:r>
      <w:r w:rsidR="00A647D1" w:rsidRPr="00FE5481">
        <w:rPr>
          <w:lang w:val="en-GB"/>
        </w:rPr>
        <w:t>ed</w:t>
      </w:r>
      <w:r w:rsidR="00FA3D6D">
        <w:rPr>
          <w:lang w:val="en-GB"/>
        </w:rPr>
        <w:t xml:space="preserve"> may be relevant to assess the public’s perception of the trademark.</w:t>
      </w:r>
      <w:r w:rsidR="00FA3D6D" w:rsidRPr="00FA3D6D">
        <w:rPr>
          <w:lang w:val="en-GB"/>
        </w:rPr>
        <w:t xml:space="preserve"> </w:t>
      </w:r>
    </w:p>
    <w:p w14:paraId="7C4F763E" w14:textId="77777777" w:rsidR="00FA3D6D" w:rsidRDefault="00FA3D6D" w:rsidP="00FA3D6D">
      <w:pPr>
        <w:pStyle w:val="Paragrafoelenco"/>
        <w:ind w:left="1080"/>
        <w:jc w:val="both"/>
        <w:rPr>
          <w:u w:val="single"/>
          <w:lang w:val="en-GB"/>
        </w:rPr>
      </w:pPr>
    </w:p>
    <w:p w14:paraId="3B7E8429" w14:textId="15ED5D71" w:rsidR="0008680B" w:rsidRDefault="00A647D1" w:rsidP="00FA3D6D">
      <w:pPr>
        <w:pStyle w:val="Paragrafoelenco"/>
        <w:numPr>
          <w:ilvl w:val="0"/>
          <w:numId w:val="2"/>
        </w:numPr>
        <w:jc w:val="both"/>
        <w:rPr>
          <w:u w:val="single"/>
          <w:lang w:val="en-GB"/>
        </w:rPr>
      </w:pPr>
      <w:r>
        <w:rPr>
          <w:u w:val="single"/>
          <w:lang w:val="en-GB"/>
        </w:rPr>
        <w:t>S</w:t>
      </w:r>
      <w:r w:rsidR="00FA3D6D" w:rsidRPr="00FA3D6D">
        <w:rPr>
          <w:u w:val="single"/>
          <w:lang w:val="en-GB"/>
        </w:rPr>
        <w:t>ale</w:t>
      </w:r>
      <w:r>
        <w:rPr>
          <w:u w:val="single"/>
          <w:lang w:val="en-GB"/>
        </w:rPr>
        <w:t>s</w:t>
      </w:r>
      <w:r w:rsidR="00FA3D6D" w:rsidRPr="00FA3D6D">
        <w:rPr>
          <w:u w:val="single"/>
          <w:lang w:val="en-GB"/>
        </w:rPr>
        <w:t xml:space="preserve"> invoices</w:t>
      </w:r>
    </w:p>
    <w:p w14:paraId="0F4F1E4A" w14:textId="110C343B" w:rsidR="00FA3D6D" w:rsidRPr="00632E6E" w:rsidRDefault="00FA3D6D" w:rsidP="00632E6E">
      <w:pPr>
        <w:pStyle w:val="Paragrafoelenco"/>
        <w:ind w:left="1080"/>
        <w:jc w:val="both"/>
        <w:rPr>
          <w:lang w:val="en-GB"/>
        </w:rPr>
      </w:pPr>
      <w:r w:rsidRPr="00FA3D6D">
        <w:rPr>
          <w:lang w:val="en-GB"/>
        </w:rPr>
        <w:t>Sale</w:t>
      </w:r>
      <w:r w:rsidR="00A647D1">
        <w:rPr>
          <w:lang w:val="en-GB"/>
        </w:rPr>
        <w:t>s</w:t>
      </w:r>
      <w:r w:rsidRPr="00FA3D6D">
        <w:rPr>
          <w:lang w:val="en-GB"/>
        </w:rPr>
        <w:t xml:space="preserve"> invoices </w:t>
      </w:r>
      <w:r>
        <w:rPr>
          <w:lang w:val="en-GB"/>
        </w:rPr>
        <w:t>showing the volume of sales are not per se sufficient to prove that the sign has acquired distinctive capacity</w:t>
      </w:r>
      <w:r w:rsidR="00632E6E">
        <w:rPr>
          <w:lang w:val="en-GB"/>
        </w:rPr>
        <w:t xml:space="preserve"> though use</w:t>
      </w:r>
      <w:r>
        <w:rPr>
          <w:lang w:val="en-GB"/>
        </w:rPr>
        <w:t>, but they can be corroborated by other pieces of evidence, such as statements from professionals of the sector</w:t>
      </w:r>
      <w:r w:rsidR="00C12365">
        <w:rPr>
          <w:lang w:val="en-GB"/>
        </w:rPr>
        <w:t xml:space="preserve">. </w:t>
      </w:r>
      <w:r w:rsidR="003F794B">
        <w:rPr>
          <w:lang w:val="en-GB"/>
        </w:rPr>
        <w:t>Moreover,</w:t>
      </w:r>
      <w:r w:rsidR="00C12365">
        <w:rPr>
          <w:lang w:val="en-GB"/>
        </w:rPr>
        <w:t xml:space="preserve"> it will be necessary to take into account that</w:t>
      </w:r>
      <w:r w:rsidR="00632E6E">
        <w:rPr>
          <w:lang w:val="en-GB"/>
        </w:rPr>
        <w:t>,</w:t>
      </w:r>
      <w:r w:rsidR="00C12365">
        <w:rPr>
          <w:lang w:val="en-GB"/>
        </w:rPr>
        <w:t xml:space="preserve"> in the luxury sector, a limited number of sale</w:t>
      </w:r>
      <w:r w:rsidR="00A647D1">
        <w:rPr>
          <w:lang w:val="en-GB"/>
        </w:rPr>
        <w:t>s</w:t>
      </w:r>
      <w:r w:rsidR="00C12365">
        <w:rPr>
          <w:lang w:val="en-GB"/>
        </w:rPr>
        <w:t xml:space="preserve"> invoices is not per se an indicator of the limited or lack of awareness by the relevant public</w:t>
      </w:r>
      <w:r w:rsidR="00A647D1">
        <w:rPr>
          <w:lang w:val="en-GB"/>
        </w:rPr>
        <w:t>,</w:t>
      </w:r>
      <w:r w:rsidR="00C12365">
        <w:rPr>
          <w:lang w:val="en-GB"/>
        </w:rPr>
        <w:t xml:space="preserve"> because the companies operating in the luxury market</w:t>
      </w:r>
      <w:r w:rsidR="00632E6E">
        <w:rPr>
          <w:lang w:val="en-GB"/>
        </w:rPr>
        <w:t xml:space="preserve">, </w:t>
      </w:r>
      <w:r w:rsidR="00632E6E" w:rsidRPr="00632E6E">
        <w:rPr>
          <w:lang w:val="en-GB"/>
        </w:rPr>
        <w:t>generally,</w:t>
      </w:r>
      <w:r w:rsidR="00C12365" w:rsidRPr="00632E6E">
        <w:rPr>
          <w:lang w:val="en-GB"/>
        </w:rPr>
        <w:t xml:space="preserve"> pursue a market strategy based on exclusivity.</w:t>
      </w:r>
    </w:p>
    <w:p w14:paraId="0A47E784" w14:textId="03895A5F" w:rsidR="003F794B" w:rsidRDefault="003F794B" w:rsidP="00FA3D6D">
      <w:pPr>
        <w:pStyle w:val="Paragrafoelenco"/>
        <w:ind w:left="1080"/>
        <w:jc w:val="both"/>
        <w:rPr>
          <w:lang w:val="en-GB"/>
        </w:rPr>
      </w:pPr>
    </w:p>
    <w:p w14:paraId="475C9074" w14:textId="342B7DE1" w:rsidR="003F794B" w:rsidRDefault="00A647D1" w:rsidP="003F794B">
      <w:pPr>
        <w:pStyle w:val="Paragrafoelenco"/>
        <w:numPr>
          <w:ilvl w:val="0"/>
          <w:numId w:val="2"/>
        </w:numPr>
        <w:jc w:val="both"/>
        <w:rPr>
          <w:u w:val="single"/>
          <w:lang w:val="en-GB"/>
        </w:rPr>
      </w:pPr>
      <w:r>
        <w:rPr>
          <w:u w:val="single"/>
          <w:lang w:val="en-GB"/>
        </w:rPr>
        <w:t>E</w:t>
      </w:r>
      <w:r w:rsidR="003F794B" w:rsidRPr="003F794B">
        <w:rPr>
          <w:u w:val="single"/>
          <w:lang w:val="en-GB"/>
        </w:rPr>
        <w:t>xcerpts from catalogues and advertising campaigns</w:t>
      </w:r>
    </w:p>
    <w:p w14:paraId="6F067830" w14:textId="1CC4AFD0" w:rsidR="00C435C7" w:rsidRPr="00632E6E" w:rsidRDefault="00A647D1" w:rsidP="00632E6E">
      <w:pPr>
        <w:pStyle w:val="Paragrafoelenco"/>
        <w:ind w:left="1080"/>
        <w:jc w:val="both"/>
        <w:rPr>
          <w:lang w:val="en-GB"/>
        </w:rPr>
      </w:pPr>
      <w:r>
        <w:rPr>
          <w:lang w:val="en-GB"/>
        </w:rPr>
        <w:t>When such</w:t>
      </w:r>
      <w:r w:rsidR="00C435C7">
        <w:rPr>
          <w:lang w:val="en-GB"/>
        </w:rPr>
        <w:t xml:space="preserve"> docum</w:t>
      </w:r>
      <w:r w:rsidR="00C435C7" w:rsidRPr="00632E6E">
        <w:rPr>
          <w:lang w:val="en-GB"/>
        </w:rPr>
        <w:t xml:space="preserve">ents are written in a language </w:t>
      </w:r>
      <w:r>
        <w:rPr>
          <w:lang w:val="en-GB"/>
        </w:rPr>
        <w:t xml:space="preserve">that is </w:t>
      </w:r>
      <w:r w:rsidR="00C435C7" w:rsidRPr="00632E6E">
        <w:rPr>
          <w:lang w:val="en-GB"/>
        </w:rPr>
        <w:t>different from the language used in the market of interest, this does not imply that the material should be considered irrelevant, in particular i</w:t>
      </w:r>
      <w:r>
        <w:rPr>
          <w:lang w:val="en-GB"/>
        </w:rPr>
        <w:t>n</w:t>
      </w:r>
      <w:r w:rsidR="00C435C7" w:rsidRPr="00632E6E">
        <w:rPr>
          <w:lang w:val="en-GB"/>
        </w:rPr>
        <w:t xml:space="preserve"> the luxury sector</w:t>
      </w:r>
      <w:r w:rsidR="00D76775">
        <w:rPr>
          <w:lang w:val="en-GB"/>
        </w:rPr>
        <w:t xml:space="preserve">, </w:t>
      </w:r>
      <w:r>
        <w:rPr>
          <w:lang w:val="en-GB"/>
        </w:rPr>
        <w:t>in which</w:t>
      </w:r>
      <w:r w:rsidR="00D76775">
        <w:rPr>
          <w:lang w:val="en-GB"/>
        </w:rPr>
        <w:t xml:space="preserve"> the public focuses </w:t>
      </w:r>
      <w:r>
        <w:rPr>
          <w:lang w:val="en-GB"/>
        </w:rPr>
        <w:t xml:space="preserve">its </w:t>
      </w:r>
      <w:r w:rsidR="00D76775">
        <w:rPr>
          <w:lang w:val="en-GB"/>
        </w:rPr>
        <w:t>attention more on the images than on text</w:t>
      </w:r>
      <w:r w:rsidR="00C435C7" w:rsidRPr="00632E6E">
        <w:rPr>
          <w:lang w:val="en-GB"/>
        </w:rPr>
        <w:t xml:space="preserve">. However, to be relevant, the material should be addressed to the public and not merely </w:t>
      </w:r>
      <w:r>
        <w:rPr>
          <w:lang w:val="en-GB"/>
        </w:rPr>
        <w:t xml:space="preserve">intended for </w:t>
      </w:r>
      <w:r w:rsidR="00C435C7" w:rsidRPr="00632E6E">
        <w:rPr>
          <w:lang w:val="en-GB"/>
        </w:rPr>
        <w:t>internal use.</w:t>
      </w:r>
    </w:p>
    <w:p w14:paraId="680F269A" w14:textId="2848D8DC" w:rsidR="00DE2E05" w:rsidRDefault="00DE2E05" w:rsidP="00C435C7">
      <w:pPr>
        <w:pStyle w:val="Paragrafoelenco"/>
        <w:ind w:left="1080"/>
        <w:jc w:val="both"/>
        <w:rPr>
          <w:lang w:val="en-GB"/>
        </w:rPr>
      </w:pPr>
    </w:p>
    <w:p w14:paraId="0DB42D84" w14:textId="5BF4C191" w:rsidR="00DE2E05" w:rsidRPr="00DE2E05" w:rsidRDefault="00A647D1" w:rsidP="00DE2E05">
      <w:pPr>
        <w:pStyle w:val="Paragrafoelenco"/>
        <w:numPr>
          <w:ilvl w:val="0"/>
          <w:numId w:val="2"/>
        </w:numPr>
        <w:jc w:val="both"/>
        <w:rPr>
          <w:u w:val="single"/>
          <w:lang w:val="en-GB"/>
        </w:rPr>
      </w:pPr>
      <w:r>
        <w:rPr>
          <w:u w:val="single"/>
          <w:lang w:val="en-GB"/>
        </w:rPr>
        <w:t>S</w:t>
      </w:r>
      <w:r w:rsidR="00DE2E05" w:rsidRPr="00DE2E05">
        <w:rPr>
          <w:u w:val="single"/>
          <w:lang w:val="en-GB"/>
        </w:rPr>
        <w:t>tatements concerning the distribution of advertising material</w:t>
      </w:r>
    </w:p>
    <w:p w14:paraId="5695F8E7" w14:textId="2C72E10B" w:rsidR="00DE2E05" w:rsidRDefault="00DE2E05" w:rsidP="00DE2E05">
      <w:pPr>
        <w:pStyle w:val="Paragrafoelenco"/>
        <w:ind w:left="1080"/>
        <w:jc w:val="both"/>
        <w:rPr>
          <w:lang w:val="en-GB"/>
        </w:rPr>
      </w:pPr>
      <w:r>
        <w:rPr>
          <w:lang w:val="en-GB"/>
        </w:rPr>
        <w:t>The</w:t>
      </w:r>
      <w:r w:rsidR="00A647D1">
        <w:rPr>
          <w:lang w:val="en-GB"/>
        </w:rPr>
        <w:t>se</w:t>
      </w:r>
      <w:r>
        <w:rPr>
          <w:lang w:val="en-GB"/>
        </w:rPr>
        <w:t xml:space="preserve"> type</w:t>
      </w:r>
      <w:r w:rsidR="00A647D1">
        <w:rPr>
          <w:lang w:val="en-GB"/>
        </w:rPr>
        <w:t>s</w:t>
      </w:r>
      <w:r>
        <w:rPr>
          <w:lang w:val="en-GB"/>
        </w:rPr>
        <w:t xml:space="preserve"> of statements may represent a useful piece of evidence</w:t>
      </w:r>
      <w:r w:rsidR="00D76775">
        <w:rPr>
          <w:lang w:val="en-GB"/>
        </w:rPr>
        <w:t xml:space="preserve"> when aimed,</w:t>
      </w:r>
      <w:r>
        <w:rPr>
          <w:lang w:val="en-GB"/>
        </w:rPr>
        <w:t xml:space="preserve"> for example, </w:t>
      </w:r>
      <w:r w:rsidR="00A647D1">
        <w:rPr>
          <w:lang w:val="en-GB"/>
        </w:rPr>
        <w:t xml:space="preserve">at </w:t>
      </w:r>
      <w:r>
        <w:rPr>
          <w:lang w:val="en-GB"/>
        </w:rPr>
        <w:t>certify</w:t>
      </w:r>
      <w:r w:rsidR="00A647D1">
        <w:rPr>
          <w:lang w:val="en-GB"/>
        </w:rPr>
        <w:t>ing</w:t>
      </w:r>
      <w:r>
        <w:rPr>
          <w:lang w:val="en-GB"/>
        </w:rPr>
        <w:t xml:space="preserve"> the number of copies </w:t>
      </w:r>
      <w:r w:rsidR="00A647D1">
        <w:rPr>
          <w:lang w:val="en-GB"/>
        </w:rPr>
        <w:t xml:space="preserve">that were </w:t>
      </w:r>
      <w:r>
        <w:rPr>
          <w:lang w:val="en-GB"/>
        </w:rPr>
        <w:t xml:space="preserve">distributed on a certain market. In this respect, in order to establish </w:t>
      </w:r>
      <w:r w:rsidR="00D76775">
        <w:rPr>
          <w:lang w:val="en-GB"/>
        </w:rPr>
        <w:t>if</w:t>
      </w:r>
      <w:r>
        <w:rPr>
          <w:lang w:val="en-GB"/>
        </w:rPr>
        <w:t xml:space="preserve"> the number of copies</w:t>
      </w:r>
      <w:r w:rsidR="00D76775">
        <w:rPr>
          <w:lang w:val="en-GB"/>
        </w:rPr>
        <w:t xml:space="preserve"> is sufficient,</w:t>
      </w:r>
      <w:r>
        <w:rPr>
          <w:lang w:val="en-GB"/>
        </w:rPr>
        <w:t xml:space="preserve"> it </w:t>
      </w:r>
      <w:r w:rsidR="00A647D1">
        <w:rPr>
          <w:lang w:val="en-GB"/>
        </w:rPr>
        <w:t xml:space="preserve">would </w:t>
      </w:r>
      <w:r>
        <w:rPr>
          <w:lang w:val="en-GB"/>
        </w:rPr>
        <w:t xml:space="preserve">be necessary to take into account </w:t>
      </w:r>
      <w:r w:rsidR="00A647D1">
        <w:rPr>
          <w:lang w:val="en-GB"/>
        </w:rPr>
        <w:t>the size of</w:t>
      </w:r>
      <w:r>
        <w:rPr>
          <w:lang w:val="en-GB"/>
        </w:rPr>
        <w:t xml:space="preserve"> the population of the country </w:t>
      </w:r>
      <w:r w:rsidR="00CC3422">
        <w:rPr>
          <w:lang w:val="en-GB"/>
        </w:rPr>
        <w:t xml:space="preserve">at issue (in the case under consideration, distribution to the public of about 14.000 copies of a number of </w:t>
      </w:r>
      <w:r w:rsidR="00A647D1">
        <w:rPr>
          <w:lang w:val="en-GB"/>
        </w:rPr>
        <w:t>was</w:t>
      </w:r>
      <w:r w:rsidR="00CC3422">
        <w:rPr>
          <w:lang w:val="en-GB"/>
        </w:rPr>
        <w:t xml:space="preserve"> considered by the judges</w:t>
      </w:r>
      <w:r w:rsidR="00A647D1">
        <w:rPr>
          <w:lang w:val="en-GB"/>
        </w:rPr>
        <w:t xml:space="preserve"> to be sufficient for</w:t>
      </w:r>
      <w:r w:rsidR="00CC3422">
        <w:rPr>
          <w:lang w:val="en-GB"/>
        </w:rPr>
        <w:t xml:space="preserve"> the Estonian market</w:t>
      </w:r>
      <w:r w:rsidR="00DB2C2D">
        <w:rPr>
          <w:lang w:val="en-GB"/>
        </w:rPr>
        <w:t>)</w:t>
      </w:r>
      <w:r w:rsidR="00CC3422">
        <w:rPr>
          <w:lang w:val="en-GB"/>
        </w:rPr>
        <w:t>.</w:t>
      </w:r>
    </w:p>
    <w:p w14:paraId="5683E251" w14:textId="1C8E25BA" w:rsidR="00C435C7" w:rsidRPr="00C435C7" w:rsidRDefault="00C435C7" w:rsidP="00C435C7">
      <w:pPr>
        <w:pStyle w:val="Paragrafoelenco"/>
        <w:ind w:left="1080"/>
        <w:jc w:val="both"/>
        <w:rPr>
          <w:u w:val="single"/>
          <w:lang w:val="en-GB"/>
        </w:rPr>
      </w:pPr>
    </w:p>
    <w:p w14:paraId="07631B33" w14:textId="2BCE6D16" w:rsidR="00C435C7" w:rsidRDefault="00A647D1" w:rsidP="00C435C7">
      <w:pPr>
        <w:pStyle w:val="Paragrafoelenco"/>
        <w:numPr>
          <w:ilvl w:val="0"/>
          <w:numId w:val="2"/>
        </w:numPr>
        <w:jc w:val="both"/>
        <w:rPr>
          <w:u w:val="single"/>
          <w:lang w:val="en-GB"/>
        </w:rPr>
      </w:pPr>
      <w:r>
        <w:rPr>
          <w:u w:val="single"/>
          <w:lang w:val="en-GB"/>
        </w:rPr>
        <w:t>E</w:t>
      </w:r>
      <w:r w:rsidR="00C435C7" w:rsidRPr="00C435C7">
        <w:rPr>
          <w:u w:val="single"/>
          <w:lang w:val="en-GB"/>
        </w:rPr>
        <w:t>vidence concerning the use of the mark on the internet</w:t>
      </w:r>
    </w:p>
    <w:p w14:paraId="1CDB680D" w14:textId="0D4C2697" w:rsidR="00C3288B" w:rsidRDefault="00A647D1" w:rsidP="00C435C7">
      <w:pPr>
        <w:pStyle w:val="Paragrafoelenco"/>
        <w:ind w:left="1080"/>
        <w:jc w:val="both"/>
        <w:rPr>
          <w:lang w:val="en-GB"/>
        </w:rPr>
      </w:pPr>
      <w:r>
        <w:rPr>
          <w:lang w:val="en-GB"/>
        </w:rPr>
        <w:t xml:space="preserve">Currently, </w:t>
      </w:r>
      <w:r w:rsidR="00AB31E6">
        <w:rPr>
          <w:lang w:val="en-GB"/>
        </w:rPr>
        <w:t xml:space="preserve">the growing importance of using a mark on the internet </w:t>
      </w:r>
      <w:r w:rsidR="00C435C7" w:rsidRPr="00C435C7">
        <w:rPr>
          <w:lang w:val="en-GB"/>
        </w:rPr>
        <w:t xml:space="preserve">is </w:t>
      </w:r>
      <w:r w:rsidR="00813FAE">
        <w:rPr>
          <w:lang w:val="en-GB"/>
        </w:rPr>
        <w:t xml:space="preserve">undeniable, </w:t>
      </w:r>
      <w:r w:rsidR="00AB31E6">
        <w:rPr>
          <w:lang w:val="en-GB"/>
        </w:rPr>
        <w:t>but in order to prove that a sign has acquired distinctive character</w:t>
      </w:r>
      <w:r>
        <w:rPr>
          <w:lang w:val="en-GB"/>
        </w:rPr>
        <w:t>,</w:t>
      </w:r>
      <w:r w:rsidR="00AB31E6">
        <w:rPr>
          <w:lang w:val="en-GB"/>
        </w:rPr>
        <w:t xml:space="preserve"> it </w:t>
      </w:r>
      <w:r>
        <w:rPr>
          <w:lang w:val="en-GB"/>
        </w:rPr>
        <w:t>its</w:t>
      </w:r>
      <w:r w:rsidR="00AB31E6">
        <w:rPr>
          <w:lang w:val="en-GB"/>
        </w:rPr>
        <w:t xml:space="preserve"> necessary to demonstrate that the website pages target a significant part of the relevant public in the member States </w:t>
      </w:r>
      <w:r w:rsidR="00813FAE">
        <w:rPr>
          <w:lang w:val="en-GB"/>
        </w:rPr>
        <w:t>where</w:t>
      </w:r>
      <w:r w:rsidR="00AB31E6">
        <w:rPr>
          <w:lang w:val="en-GB"/>
        </w:rPr>
        <w:t xml:space="preserve"> the mark </w:t>
      </w:r>
      <w:r w:rsidR="00813FAE">
        <w:rPr>
          <w:lang w:val="en-GB"/>
        </w:rPr>
        <w:t>was</w:t>
      </w:r>
      <w:r w:rsidR="00AB31E6">
        <w:rPr>
          <w:lang w:val="en-GB"/>
        </w:rPr>
        <w:t>, ab initio, devoid of inherent distinctiveness</w:t>
      </w:r>
      <w:r w:rsidR="00AB05F9">
        <w:rPr>
          <w:lang w:val="en-GB"/>
        </w:rPr>
        <w:t>. In this framework, t</w:t>
      </w:r>
      <w:r w:rsidR="00BE609C">
        <w:rPr>
          <w:lang w:val="en-GB"/>
        </w:rPr>
        <w:t>he pieces of evidence referring to websites associated with generic top-level</w:t>
      </w:r>
      <w:r w:rsidR="00813FAE">
        <w:rPr>
          <w:lang w:val="en-GB"/>
        </w:rPr>
        <w:t xml:space="preserve"> </w:t>
      </w:r>
      <w:r w:rsidR="00BE609C">
        <w:rPr>
          <w:lang w:val="en-GB"/>
        </w:rPr>
        <w:t xml:space="preserve">domain names, such as “.com” or “net” (or </w:t>
      </w:r>
      <w:r w:rsidR="00813FAE">
        <w:rPr>
          <w:lang w:val="en-GB"/>
        </w:rPr>
        <w:t xml:space="preserve">to </w:t>
      </w:r>
      <w:r w:rsidR="00BE609C">
        <w:rPr>
          <w:lang w:val="en-GB"/>
        </w:rPr>
        <w:t xml:space="preserve">use </w:t>
      </w:r>
      <w:r w:rsidR="00813FAE">
        <w:rPr>
          <w:lang w:val="en-GB"/>
        </w:rPr>
        <w:t xml:space="preserve">of the mark </w:t>
      </w:r>
      <w:r w:rsidR="00BE609C">
        <w:rPr>
          <w:lang w:val="en-GB"/>
        </w:rPr>
        <w:t xml:space="preserve">through social networks) will play a more important role than the </w:t>
      </w:r>
      <w:r w:rsidR="00BE609C">
        <w:rPr>
          <w:lang w:val="en-GB"/>
        </w:rPr>
        <w:lastRenderedPageBreak/>
        <w:t>documents referring to websites</w:t>
      </w:r>
      <w:r w:rsidR="00CB6561">
        <w:rPr>
          <w:lang w:val="en-GB"/>
        </w:rPr>
        <w:t xml:space="preserve"> </w:t>
      </w:r>
      <w:r w:rsidR="00813FAE">
        <w:rPr>
          <w:lang w:val="en-GB"/>
        </w:rPr>
        <w:t>associated with</w:t>
      </w:r>
      <w:r w:rsidR="00BE609C">
        <w:rPr>
          <w:lang w:val="en-GB"/>
        </w:rPr>
        <w:t xml:space="preserve"> a partic</w:t>
      </w:r>
      <w:r w:rsidR="00813FAE">
        <w:rPr>
          <w:lang w:val="en-GB"/>
        </w:rPr>
        <w:t>ular</w:t>
      </w:r>
      <w:r w:rsidR="00BE609C">
        <w:rPr>
          <w:lang w:val="en-GB"/>
        </w:rPr>
        <w:t xml:space="preserve"> Member State (</w:t>
      </w:r>
      <w:r w:rsidR="00E16766">
        <w:rPr>
          <w:lang w:val="en-GB"/>
        </w:rPr>
        <w:t>e.g.,</w:t>
      </w:r>
      <w:r w:rsidR="00BE609C">
        <w:rPr>
          <w:lang w:val="en-GB"/>
        </w:rPr>
        <w:t xml:space="preserve"> “.it”</w:t>
      </w:r>
      <w:r w:rsidR="00CB6561">
        <w:rPr>
          <w:lang w:val="en-GB"/>
        </w:rPr>
        <w:t xml:space="preserve">). </w:t>
      </w:r>
      <w:r>
        <w:rPr>
          <w:lang w:val="en-GB"/>
        </w:rPr>
        <w:t>Further, t</w:t>
      </w:r>
      <w:r w:rsidR="00CB6561">
        <w:rPr>
          <w:lang w:val="en-GB"/>
        </w:rPr>
        <w:t>his kind of document must be corroborated by a traffic analysis report for the sites considered.</w:t>
      </w:r>
    </w:p>
    <w:p w14:paraId="58C10491" w14:textId="77777777" w:rsidR="00C3288B" w:rsidRDefault="00C3288B" w:rsidP="00C435C7">
      <w:pPr>
        <w:pStyle w:val="Paragrafoelenco"/>
        <w:ind w:left="1080"/>
        <w:jc w:val="both"/>
        <w:rPr>
          <w:lang w:val="en-GB"/>
        </w:rPr>
      </w:pPr>
    </w:p>
    <w:p w14:paraId="746C8FF6" w14:textId="61250B30" w:rsidR="00CB6561" w:rsidRPr="00CB6561" w:rsidRDefault="00A647D1" w:rsidP="00CB6561">
      <w:pPr>
        <w:pStyle w:val="Paragrafoelenco"/>
        <w:numPr>
          <w:ilvl w:val="0"/>
          <w:numId w:val="2"/>
        </w:numPr>
        <w:jc w:val="both"/>
        <w:rPr>
          <w:u w:val="single"/>
          <w:lang w:val="en-GB"/>
        </w:rPr>
      </w:pPr>
      <w:r>
        <w:rPr>
          <w:u w:val="single"/>
          <w:lang w:val="en-GB"/>
        </w:rPr>
        <w:t>E</w:t>
      </w:r>
      <w:r w:rsidR="00CB6561" w:rsidRPr="00CB6561">
        <w:rPr>
          <w:u w:val="single"/>
          <w:lang w:val="en-GB"/>
        </w:rPr>
        <w:t>xpert statements</w:t>
      </w:r>
    </w:p>
    <w:p w14:paraId="2CA84258" w14:textId="65E92B5B" w:rsidR="00CB6561" w:rsidRDefault="00C44830" w:rsidP="00CB6561">
      <w:pPr>
        <w:pStyle w:val="Paragrafoelenco"/>
        <w:ind w:left="1080"/>
        <w:jc w:val="both"/>
        <w:rPr>
          <w:lang w:val="en-GB"/>
        </w:rPr>
      </w:pPr>
      <w:r>
        <w:rPr>
          <w:lang w:val="en-GB"/>
        </w:rPr>
        <w:t>The probative value of</w:t>
      </w:r>
      <w:r w:rsidR="00FC2291">
        <w:rPr>
          <w:lang w:val="en-GB"/>
        </w:rPr>
        <w:t xml:space="preserve"> statements are made by experts who are not involved or </w:t>
      </w:r>
      <w:r w:rsidR="00813FAE">
        <w:rPr>
          <w:lang w:val="en-GB"/>
        </w:rPr>
        <w:t xml:space="preserve">somehow </w:t>
      </w:r>
      <w:r w:rsidR="00FC2291">
        <w:rPr>
          <w:lang w:val="en-GB"/>
        </w:rPr>
        <w:t>connected with the dispute (</w:t>
      </w:r>
      <w:r w:rsidR="00E16766">
        <w:rPr>
          <w:lang w:val="en-GB"/>
        </w:rPr>
        <w:t>e.g.,</w:t>
      </w:r>
      <w:r w:rsidR="00FC2291">
        <w:rPr>
          <w:lang w:val="en-GB"/>
        </w:rPr>
        <w:t xml:space="preserve"> statements of the chamber</w:t>
      </w:r>
      <w:r w:rsidR="00FC734C">
        <w:rPr>
          <w:lang w:val="en-GB"/>
        </w:rPr>
        <w:t>s</w:t>
      </w:r>
      <w:r w:rsidR="00FC2291">
        <w:rPr>
          <w:lang w:val="en-GB"/>
        </w:rPr>
        <w:t xml:space="preserve"> of commerce)</w:t>
      </w:r>
      <w:r w:rsidR="00A053C8">
        <w:rPr>
          <w:lang w:val="en-GB"/>
        </w:rPr>
        <w:t xml:space="preserve"> is higher</w:t>
      </w:r>
      <w:r w:rsidR="00FC2291">
        <w:rPr>
          <w:lang w:val="en-GB"/>
        </w:rPr>
        <w:t>,</w:t>
      </w:r>
      <w:r w:rsidR="00A053C8">
        <w:rPr>
          <w:lang w:val="en-GB"/>
        </w:rPr>
        <w:t xml:space="preserve"> and indeed t</w:t>
      </w:r>
      <w:r w:rsidR="00FC2291">
        <w:rPr>
          <w:lang w:val="en-GB"/>
        </w:rPr>
        <w:t>hey</w:t>
      </w:r>
      <w:r w:rsidR="00A053C8">
        <w:rPr>
          <w:lang w:val="en-GB"/>
        </w:rPr>
        <w:t xml:space="preserve"> constitute</w:t>
      </w:r>
      <w:r w:rsidR="00FC2291">
        <w:rPr>
          <w:lang w:val="en-GB"/>
        </w:rPr>
        <w:t xml:space="preserve"> direct evidence having a</w:t>
      </w:r>
      <w:r w:rsidR="00FC734C">
        <w:rPr>
          <w:lang w:val="en-GB"/>
        </w:rPr>
        <w:t xml:space="preserve"> </w:t>
      </w:r>
      <w:r w:rsidR="00FC2291">
        <w:rPr>
          <w:lang w:val="en-GB"/>
        </w:rPr>
        <w:t>“high</w:t>
      </w:r>
      <w:r w:rsidR="00813FAE">
        <w:rPr>
          <w:lang w:val="en-GB"/>
        </w:rPr>
        <w:t xml:space="preserve"> probative value”</w:t>
      </w:r>
      <w:r w:rsidR="00C3288B">
        <w:rPr>
          <w:lang w:val="en-GB"/>
        </w:rPr>
        <w:t>.</w:t>
      </w:r>
    </w:p>
    <w:p w14:paraId="41329294" w14:textId="4C2E095D" w:rsidR="00FC2291" w:rsidRPr="00FC2291" w:rsidRDefault="00FC2291" w:rsidP="00CB6561">
      <w:pPr>
        <w:pStyle w:val="Paragrafoelenco"/>
        <w:ind w:left="1080"/>
        <w:jc w:val="both"/>
        <w:rPr>
          <w:u w:val="single"/>
          <w:lang w:val="en-GB"/>
        </w:rPr>
      </w:pPr>
    </w:p>
    <w:p w14:paraId="1D2A0735" w14:textId="207B130E" w:rsidR="00FC2291" w:rsidRDefault="00A647D1" w:rsidP="00FC2291">
      <w:pPr>
        <w:pStyle w:val="Paragrafoelenco"/>
        <w:numPr>
          <w:ilvl w:val="0"/>
          <w:numId w:val="2"/>
        </w:numPr>
        <w:jc w:val="both"/>
        <w:rPr>
          <w:u w:val="single"/>
          <w:lang w:val="en-GB"/>
        </w:rPr>
      </w:pPr>
      <w:r>
        <w:rPr>
          <w:u w:val="single"/>
          <w:lang w:val="en-GB"/>
        </w:rPr>
        <w:t>O</w:t>
      </w:r>
      <w:r w:rsidR="00FC2291" w:rsidRPr="00FC2291">
        <w:rPr>
          <w:u w:val="single"/>
          <w:lang w:val="en-GB"/>
        </w:rPr>
        <w:t>pinion polls</w:t>
      </w:r>
    </w:p>
    <w:p w14:paraId="5F0CD988" w14:textId="6087463B" w:rsidR="00607F22" w:rsidRPr="00813FAE" w:rsidRDefault="00A053C8" w:rsidP="00813FAE">
      <w:pPr>
        <w:pStyle w:val="Paragrafoelenco"/>
        <w:ind w:left="1080"/>
        <w:jc w:val="both"/>
        <w:rPr>
          <w:lang w:val="en-GB"/>
        </w:rPr>
      </w:pPr>
      <w:r>
        <w:rPr>
          <w:lang w:val="en-GB"/>
        </w:rPr>
        <w:t>The results of o</w:t>
      </w:r>
      <w:r w:rsidR="00DE49DE">
        <w:rPr>
          <w:lang w:val="en-GB"/>
        </w:rPr>
        <w:t xml:space="preserve">pinion poll may </w:t>
      </w:r>
      <w:r>
        <w:rPr>
          <w:lang w:val="en-GB"/>
        </w:rPr>
        <w:t>be categorized as</w:t>
      </w:r>
      <w:r w:rsidR="00DE49DE">
        <w:rPr>
          <w:lang w:val="en-GB"/>
        </w:rPr>
        <w:t xml:space="preserve"> direct evidence, provided the</w:t>
      </w:r>
      <w:r w:rsidR="00E41070">
        <w:rPr>
          <w:lang w:val="en-GB"/>
        </w:rPr>
        <w:t xml:space="preserve">y contain non-leading questions and are based on a representative sample.  </w:t>
      </w:r>
      <w:r w:rsidR="00E93219">
        <w:rPr>
          <w:lang w:val="en-GB"/>
        </w:rPr>
        <w:t xml:space="preserve">When the marketing strategy of the operator targets a group of EU Member States, the opinion polls </w:t>
      </w:r>
      <w:r w:rsidR="00BD0831">
        <w:rPr>
          <w:lang w:val="en-GB"/>
        </w:rPr>
        <w:t>may also reflect the same group of States.</w:t>
      </w:r>
    </w:p>
    <w:p w14:paraId="68F115A9" w14:textId="77777777" w:rsidR="00607F22" w:rsidRDefault="00607F22" w:rsidP="00607F22">
      <w:pPr>
        <w:pStyle w:val="Paragrafoelenco"/>
        <w:ind w:left="1080"/>
        <w:jc w:val="both"/>
        <w:rPr>
          <w:u w:val="single"/>
          <w:lang w:val="en-GB"/>
        </w:rPr>
      </w:pPr>
    </w:p>
    <w:p w14:paraId="1FFC8B04" w14:textId="0E05A7E3" w:rsidR="00813FAE" w:rsidRDefault="00A647D1" w:rsidP="00813FAE">
      <w:pPr>
        <w:pStyle w:val="Paragrafoelenco"/>
        <w:numPr>
          <w:ilvl w:val="0"/>
          <w:numId w:val="2"/>
        </w:numPr>
        <w:jc w:val="both"/>
        <w:rPr>
          <w:u w:val="single"/>
          <w:lang w:val="en-GB"/>
        </w:rPr>
      </w:pPr>
      <w:r>
        <w:rPr>
          <w:u w:val="single"/>
          <w:lang w:val="en-GB"/>
        </w:rPr>
        <w:t>Decisions</w:t>
      </w:r>
      <w:r w:rsidR="00607F22">
        <w:rPr>
          <w:u w:val="single"/>
          <w:lang w:val="en-GB"/>
        </w:rPr>
        <w:t xml:space="preserve"> confirming that the mark has been </w:t>
      </w:r>
      <w:r w:rsidR="00813FAE">
        <w:rPr>
          <w:u w:val="single"/>
          <w:lang w:val="en-GB"/>
        </w:rPr>
        <w:t>infringe</w:t>
      </w:r>
      <w:r w:rsidR="00D925FD">
        <w:rPr>
          <w:u w:val="single"/>
          <w:lang w:val="en-GB"/>
        </w:rPr>
        <w:t>d</w:t>
      </w:r>
    </w:p>
    <w:p w14:paraId="660F5AC2" w14:textId="77724248" w:rsidR="00CB6561" w:rsidRPr="00813FAE" w:rsidRDefault="003746C1" w:rsidP="00813FAE">
      <w:pPr>
        <w:pStyle w:val="Paragrafoelenco"/>
        <w:ind w:left="1080"/>
        <w:jc w:val="both"/>
        <w:rPr>
          <w:u w:val="single"/>
          <w:lang w:val="en-GB"/>
        </w:rPr>
      </w:pPr>
      <w:r w:rsidRPr="00813FAE">
        <w:rPr>
          <w:lang w:val="en-GB"/>
        </w:rPr>
        <w:t xml:space="preserve">The outcomes of </w:t>
      </w:r>
      <w:r w:rsidR="00A053C8">
        <w:rPr>
          <w:lang w:val="en-GB"/>
        </w:rPr>
        <w:t xml:space="preserve">legal </w:t>
      </w:r>
      <w:r w:rsidRPr="00813FAE">
        <w:rPr>
          <w:lang w:val="en-GB"/>
        </w:rPr>
        <w:t xml:space="preserve">proceedings confirming that the relevant trademark has been </w:t>
      </w:r>
      <w:r w:rsidR="00813FAE">
        <w:rPr>
          <w:lang w:val="en-GB"/>
        </w:rPr>
        <w:t>infringed</w:t>
      </w:r>
      <w:r w:rsidRPr="00813FAE">
        <w:rPr>
          <w:lang w:val="en-GB"/>
        </w:rPr>
        <w:t xml:space="preserve"> – possibly</w:t>
      </w:r>
      <w:r w:rsidR="00A053C8">
        <w:rPr>
          <w:lang w:val="en-GB"/>
        </w:rPr>
        <w:t xml:space="preserve"> filed together with</w:t>
      </w:r>
      <w:r w:rsidRPr="00813FAE">
        <w:rPr>
          <w:lang w:val="en-GB"/>
        </w:rPr>
        <w:t xml:space="preserve"> statements of the lawyers involved and stating the number and volume of </w:t>
      </w:r>
      <w:r w:rsidR="00A053C8">
        <w:rPr>
          <w:lang w:val="en-GB"/>
        </w:rPr>
        <w:t>any</w:t>
      </w:r>
      <w:r w:rsidR="00A053C8" w:rsidRPr="00813FAE">
        <w:rPr>
          <w:lang w:val="en-GB"/>
        </w:rPr>
        <w:t xml:space="preserve"> </w:t>
      </w:r>
      <w:r w:rsidRPr="00813FAE">
        <w:rPr>
          <w:lang w:val="en-GB"/>
        </w:rPr>
        <w:t>seizures</w:t>
      </w:r>
      <w:r w:rsidR="00A053C8">
        <w:rPr>
          <w:lang w:val="en-GB"/>
        </w:rPr>
        <w:t xml:space="preserve"> involved</w:t>
      </w:r>
      <w:r w:rsidR="00FC734C">
        <w:rPr>
          <w:lang w:val="en-GB"/>
        </w:rPr>
        <w:t xml:space="preserve"> -</w:t>
      </w:r>
      <w:r w:rsidRPr="00813FAE">
        <w:rPr>
          <w:lang w:val="en-GB"/>
        </w:rPr>
        <w:t xml:space="preserve"> may also constitute a </w:t>
      </w:r>
      <w:r w:rsidR="00607F22" w:rsidRPr="00813FAE">
        <w:rPr>
          <w:lang w:val="en-GB"/>
        </w:rPr>
        <w:t xml:space="preserve">valid piece </w:t>
      </w:r>
      <w:r w:rsidR="00813FAE">
        <w:rPr>
          <w:lang w:val="en-GB"/>
        </w:rPr>
        <w:t>of</w:t>
      </w:r>
      <w:r w:rsidR="00607F22" w:rsidRPr="00813FAE">
        <w:rPr>
          <w:lang w:val="en-GB"/>
        </w:rPr>
        <w:t xml:space="preserve"> evidence. However, the fact that the counterfeited products </w:t>
      </w:r>
      <w:r w:rsidR="00A053C8">
        <w:rPr>
          <w:lang w:val="en-GB"/>
        </w:rPr>
        <w:t>were</w:t>
      </w:r>
      <w:r w:rsidR="00FC734C">
        <w:rPr>
          <w:lang w:val="en-GB"/>
        </w:rPr>
        <w:t xml:space="preserve"> found</w:t>
      </w:r>
      <w:r w:rsidR="00607F22" w:rsidRPr="00813FAE">
        <w:rPr>
          <w:lang w:val="en-GB"/>
        </w:rPr>
        <w:t xml:space="preserve"> </w:t>
      </w:r>
      <w:r w:rsidR="00A053C8">
        <w:rPr>
          <w:lang w:val="en-GB"/>
        </w:rPr>
        <w:t>in</w:t>
      </w:r>
      <w:r w:rsidR="00607F22" w:rsidRPr="00813FAE">
        <w:rPr>
          <w:lang w:val="en-GB"/>
        </w:rPr>
        <w:t xml:space="preserve"> a certain territory doe</w:t>
      </w:r>
      <w:r w:rsidR="00D925FD">
        <w:rPr>
          <w:lang w:val="en-GB"/>
        </w:rPr>
        <w:t>s</w:t>
      </w:r>
      <w:r w:rsidR="00607F22" w:rsidRPr="00813FAE">
        <w:rPr>
          <w:lang w:val="en-GB"/>
        </w:rPr>
        <w:t xml:space="preserve"> not imply that said products may </w:t>
      </w:r>
      <w:r w:rsidR="00A053C8">
        <w:rPr>
          <w:lang w:val="en-GB"/>
        </w:rPr>
        <w:t xml:space="preserve">also </w:t>
      </w:r>
      <w:r w:rsidR="00607F22" w:rsidRPr="00813FAE">
        <w:rPr>
          <w:lang w:val="en-GB"/>
        </w:rPr>
        <w:t>be considered present on the m</w:t>
      </w:r>
      <w:r w:rsidR="00813FAE" w:rsidRPr="00813FAE">
        <w:rPr>
          <w:lang w:val="en-GB"/>
        </w:rPr>
        <w:t>a</w:t>
      </w:r>
      <w:r w:rsidR="00607F22" w:rsidRPr="00813FAE">
        <w:rPr>
          <w:lang w:val="en-GB"/>
        </w:rPr>
        <w:t xml:space="preserve">rket of other territories. In any case, the </w:t>
      </w:r>
      <w:r w:rsidR="00813FAE">
        <w:rPr>
          <w:lang w:val="en-GB"/>
        </w:rPr>
        <w:t>probative</w:t>
      </w:r>
      <w:r w:rsidR="00607F22" w:rsidRPr="00813FAE">
        <w:rPr>
          <w:lang w:val="en-GB"/>
        </w:rPr>
        <w:t xml:space="preserve"> </w:t>
      </w:r>
      <w:r w:rsidR="00813FAE">
        <w:rPr>
          <w:lang w:val="en-GB"/>
        </w:rPr>
        <w:t xml:space="preserve">value </w:t>
      </w:r>
      <w:r w:rsidR="00607F22" w:rsidRPr="00813FAE">
        <w:rPr>
          <w:lang w:val="en-GB"/>
        </w:rPr>
        <w:t>will depend on the capacity</w:t>
      </w:r>
      <w:r w:rsidR="004905BC">
        <w:rPr>
          <w:lang w:val="en-GB"/>
        </w:rPr>
        <w:t xml:space="preserve"> of the applicant </w:t>
      </w:r>
      <w:r w:rsidR="00607F22" w:rsidRPr="00813FAE">
        <w:rPr>
          <w:lang w:val="en-GB"/>
        </w:rPr>
        <w:t xml:space="preserve">to </w:t>
      </w:r>
      <w:r w:rsidR="004905BC">
        <w:rPr>
          <w:lang w:val="en-GB"/>
        </w:rPr>
        <w:t>demonstrate</w:t>
      </w:r>
      <w:r w:rsidR="00607F22" w:rsidRPr="00813FAE">
        <w:rPr>
          <w:lang w:val="en-GB"/>
        </w:rPr>
        <w:t xml:space="preserve"> the link</w:t>
      </w:r>
      <w:r w:rsidR="004905BC">
        <w:rPr>
          <w:lang w:val="en-GB"/>
        </w:rPr>
        <w:t xml:space="preserve"> between the sign and the public’s perception.</w:t>
      </w:r>
    </w:p>
    <w:p w14:paraId="56F3F2A1" w14:textId="67AFFC14" w:rsidR="00607F22" w:rsidRDefault="00607F22" w:rsidP="00C435C7">
      <w:pPr>
        <w:pStyle w:val="Paragrafoelenco"/>
        <w:ind w:left="1080"/>
        <w:jc w:val="both"/>
        <w:rPr>
          <w:lang w:val="en-GB"/>
        </w:rPr>
      </w:pPr>
    </w:p>
    <w:p w14:paraId="65667330" w14:textId="4DC89BBD" w:rsidR="00607F22" w:rsidRDefault="00607F22" w:rsidP="00C435C7">
      <w:pPr>
        <w:pStyle w:val="Paragrafoelenco"/>
        <w:ind w:left="1080"/>
        <w:jc w:val="both"/>
        <w:rPr>
          <w:b/>
          <w:bCs/>
          <w:u w:val="single"/>
          <w:lang w:val="en-GB"/>
        </w:rPr>
      </w:pPr>
      <w:r w:rsidRPr="00607F22">
        <w:rPr>
          <w:b/>
          <w:bCs/>
          <w:u w:val="single"/>
          <w:lang w:val="en-GB"/>
        </w:rPr>
        <w:t>Conclusions</w:t>
      </w:r>
    </w:p>
    <w:p w14:paraId="240B7C66" w14:textId="67B02D9E" w:rsidR="00607F22" w:rsidRDefault="00607F22" w:rsidP="00C435C7">
      <w:pPr>
        <w:pStyle w:val="Paragrafoelenco"/>
        <w:ind w:left="1080"/>
        <w:jc w:val="both"/>
        <w:rPr>
          <w:b/>
          <w:bCs/>
          <w:u w:val="single"/>
          <w:lang w:val="en-GB"/>
        </w:rPr>
      </w:pPr>
    </w:p>
    <w:p w14:paraId="1499A1D5" w14:textId="79FE3DCA" w:rsidR="00001D19" w:rsidRDefault="00607F22" w:rsidP="00281288">
      <w:pPr>
        <w:pStyle w:val="Paragrafoelenco"/>
        <w:ind w:left="1080"/>
        <w:jc w:val="both"/>
        <w:rPr>
          <w:lang w:val="en-GB"/>
        </w:rPr>
      </w:pPr>
      <w:r w:rsidRPr="00607F22">
        <w:rPr>
          <w:lang w:val="en-GB"/>
        </w:rPr>
        <w:t>As</w:t>
      </w:r>
      <w:r>
        <w:rPr>
          <w:lang w:val="en-GB"/>
        </w:rPr>
        <w:t xml:space="preserve"> mentioned</w:t>
      </w:r>
      <w:r w:rsidR="003562B7">
        <w:rPr>
          <w:lang w:val="en-GB"/>
        </w:rPr>
        <w:t xml:space="preserve"> above</w:t>
      </w:r>
      <w:r>
        <w:rPr>
          <w:lang w:val="en-GB"/>
        </w:rPr>
        <w:t>, the</w:t>
      </w:r>
      <w:r w:rsidR="003562B7">
        <w:rPr>
          <w:lang w:val="en-GB"/>
        </w:rPr>
        <w:t>se</w:t>
      </w:r>
      <w:r>
        <w:rPr>
          <w:lang w:val="en-GB"/>
        </w:rPr>
        <w:t xml:space="preserve"> guidelines</w:t>
      </w:r>
      <w:r w:rsidR="004905BC">
        <w:rPr>
          <w:lang w:val="en-GB"/>
        </w:rPr>
        <w:t xml:space="preserve"> </w:t>
      </w:r>
      <w:r>
        <w:rPr>
          <w:lang w:val="en-GB"/>
        </w:rPr>
        <w:t xml:space="preserve">must be interpreted taking into account the unitary character of the EU trademark. In this respect, the court </w:t>
      </w:r>
      <w:r w:rsidR="003562B7">
        <w:rPr>
          <w:lang w:val="en-GB"/>
        </w:rPr>
        <w:t>recognized</w:t>
      </w:r>
      <w:r>
        <w:rPr>
          <w:lang w:val="en-GB"/>
        </w:rPr>
        <w:t xml:space="preserve"> that it would be unreasonable </w:t>
      </w:r>
      <w:r w:rsidR="00082952">
        <w:rPr>
          <w:lang w:val="en-GB"/>
        </w:rPr>
        <w:t>to request</w:t>
      </w:r>
      <w:r w:rsidR="004905BC">
        <w:rPr>
          <w:lang w:val="en-GB"/>
        </w:rPr>
        <w:t xml:space="preserve"> </w:t>
      </w:r>
      <w:r w:rsidR="00082952">
        <w:rPr>
          <w:lang w:val="en-GB"/>
        </w:rPr>
        <w:t>separate and specific evidence for each country. As a consequence, the</w:t>
      </w:r>
      <w:r w:rsidR="004905BC">
        <w:rPr>
          <w:lang w:val="en-GB"/>
        </w:rPr>
        <w:t xml:space="preserve"> pieces of </w:t>
      </w:r>
      <w:r w:rsidR="00082952">
        <w:rPr>
          <w:lang w:val="en-GB"/>
        </w:rPr>
        <w:t>evidence</w:t>
      </w:r>
      <w:r w:rsidR="004905BC">
        <w:rPr>
          <w:lang w:val="en-GB"/>
        </w:rPr>
        <w:t xml:space="preserve"> </w:t>
      </w:r>
      <w:r w:rsidR="00082952">
        <w:rPr>
          <w:lang w:val="en-GB"/>
        </w:rPr>
        <w:t xml:space="preserve">may refer to </w:t>
      </w:r>
      <w:r w:rsidR="00AC6F59">
        <w:rPr>
          <w:lang w:val="en-GB"/>
        </w:rPr>
        <w:t>several</w:t>
      </w:r>
      <w:r w:rsidR="00082952">
        <w:rPr>
          <w:lang w:val="en-GB"/>
        </w:rPr>
        <w:t xml:space="preserve"> EU countries, or even to the </w:t>
      </w:r>
      <w:r w:rsidR="00AC6F59">
        <w:rPr>
          <w:lang w:val="en-GB"/>
        </w:rPr>
        <w:t>whole</w:t>
      </w:r>
      <w:r w:rsidR="00082952">
        <w:rPr>
          <w:lang w:val="en-GB"/>
        </w:rPr>
        <w:t xml:space="preserve"> European Union territory. Having clarified this,</w:t>
      </w:r>
      <w:r w:rsidR="003562B7">
        <w:rPr>
          <w:lang w:val="en-GB"/>
        </w:rPr>
        <w:t xml:space="preserve"> however,</w:t>
      </w:r>
      <w:r w:rsidR="00082952">
        <w:rPr>
          <w:lang w:val="en-GB"/>
        </w:rPr>
        <w:t xml:space="preserve"> the proof </w:t>
      </w:r>
      <w:r w:rsidR="00001D19">
        <w:rPr>
          <w:lang w:val="en-GB"/>
        </w:rPr>
        <w:t xml:space="preserve">submitted </w:t>
      </w:r>
      <w:r w:rsidR="00082952">
        <w:rPr>
          <w:lang w:val="en-GB"/>
        </w:rPr>
        <w:t>to demonstrate acquired distinctiveness</w:t>
      </w:r>
      <w:r w:rsidR="0061335E">
        <w:rPr>
          <w:lang w:val="en-GB"/>
        </w:rPr>
        <w:t xml:space="preserve"> must show that the mark has been used </w:t>
      </w:r>
      <w:r w:rsidR="00001D19">
        <w:rPr>
          <w:lang w:val="en-GB"/>
        </w:rPr>
        <w:t>throughout</w:t>
      </w:r>
      <w:r w:rsidR="0061335E">
        <w:rPr>
          <w:lang w:val="en-GB"/>
        </w:rPr>
        <w:t xml:space="preserve"> the European </w:t>
      </w:r>
      <w:r w:rsidR="00001D19">
        <w:rPr>
          <w:lang w:val="en-GB"/>
        </w:rPr>
        <w:t>U</w:t>
      </w:r>
      <w:r w:rsidR="0061335E">
        <w:rPr>
          <w:lang w:val="en-GB"/>
        </w:rPr>
        <w:t xml:space="preserve">nion territory and not only on a part of it, even if </w:t>
      </w:r>
      <w:r w:rsidR="003562B7">
        <w:rPr>
          <w:lang w:val="en-GB"/>
        </w:rPr>
        <w:t xml:space="preserve">that part is </w:t>
      </w:r>
      <w:r w:rsidR="0061335E">
        <w:rPr>
          <w:lang w:val="en-GB"/>
        </w:rPr>
        <w:t xml:space="preserve">quite </w:t>
      </w:r>
      <w:r w:rsidR="00001D19">
        <w:rPr>
          <w:lang w:val="en-GB"/>
        </w:rPr>
        <w:t xml:space="preserve">large. </w:t>
      </w:r>
      <w:r w:rsidR="0061335E">
        <w:rPr>
          <w:lang w:val="en-GB"/>
        </w:rPr>
        <w:t xml:space="preserve">It follows that, </w:t>
      </w:r>
      <w:r w:rsidR="003562B7">
        <w:rPr>
          <w:lang w:val="en-GB"/>
        </w:rPr>
        <w:t>even when</w:t>
      </w:r>
      <w:r w:rsidR="0061335E">
        <w:rPr>
          <w:lang w:val="en-GB"/>
        </w:rPr>
        <w:t xml:space="preserve"> the evidence </w:t>
      </w:r>
      <w:r w:rsidR="00CF0D35">
        <w:rPr>
          <w:lang w:val="en-GB"/>
        </w:rPr>
        <w:t>refers</w:t>
      </w:r>
      <w:r w:rsidR="0061335E">
        <w:rPr>
          <w:lang w:val="en-GB"/>
        </w:rPr>
        <w:t xml:space="preserve"> to “groups of member states”, they should not exclude any part of the EU territory.</w:t>
      </w:r>
    </w:p>
    <w:p w14:paraId="52306C4C" w14:textId="77777777" w:rsidR="00001D19" w:rsidRDefault="00001D19" w:rsidP="00001D19">
      <w:pPr>
        <w:pStyle w:val="Paragrafoelenco"/>
        <w:ind w:left="1080" w:firstLine="336"/>
        <w:jc w:val="both"/>
        <w:rPr>
          <w:lang w:val="en-GB"/>
        </w:rPr>
      </w:pPr>
    </w:p>
    <w:p w14:paraId="1D87CAA5" w14:textId="6950AB8B" w:rsidR="00C2330F" w:rsidRDefault="001355CA" w:rsidP="00281288">
      <w:pPr>
        <w:pStyle w:val="Paragrafoelenco"/>
        <w:ind w:left="1080"/>
        <w:jc w:val="both"/>
        <w:rPr>
          <w:lang w:val="en-GB"/>
        </w:rPr>
      </w:pPr>
      <w:r w:rsidRPr="00001D19">
        <w:rPr>
          <w:lang w:val="en-GB"/>
        </w:rPr>
        <w:t>It must be pointed out that</w:t>
      </w:r>
      <w:r w:rsidR="00D458F7" w:rsidRPr="00001D19">
        <w:rPr>
          <w:lang w:val="en-GB"/>
        </w:rPr>
        <w:t xml:space="preserve"> the court’</w:t>
      </w:r>
      <w:r w:rsidR="00AC6F59">
        <w:rPr>
          <w:lang w:val="en-GB"/>
        </w:rPr>
        <w:t>s</w:t>
      </w:r>
      <w:r w:rsidR="00D458F7" w:rsidRPr="00001D19">
        <w:rPr>
          <w:lang w:val="en-GB"/>
        </w:rPr>
        <w:t xml:space="preserve"> decision has been adopted on the basis of the reasoning developed by the Board of Appeal of EUIPO with </w:t>
      </w:r>
      <w:r w:rsidR="003562B7">
        <w:rPr>
          <w:lang w:val="en-GB"/>
        </w:rPr>
        <w:t>decision</w:t>
      </w:r>
      <w:r w:rsidR="003562B7" w:rsidRPr="00001D19">
        <w:rPr>
          <w:lang w:val="en-GB"/>
        </w:rPr>
        <w:t xml:space="preserve"> </w:t>
      </w:r>
      <w:r w:rsidR="00D458F7" w:rsidRPr="00001D19">
        <w:rPr>
          <w:lang w:val="en-GB"/>
        </w:rPr>
        <w:t>R- 274/2017 – 2</w:t>
      </w:r>
      <w:r w:rsidR="003562B7">
        <w:rPr>
          <w:lang w:val="en-GB"/>
        </w:rPr>
        <w:t>,</w:t>
      </w:r>
      <w:r w:rsidR="00D458F7" w:rsidRPr="00001D19">
        <w:rPr>
          <w:lang w:val="en-GB"/>
        </w:rPr>
        <w:t xml:space="preserve"> which analysed the evidence </w:t>
      </w:r>
      <w:r w:rsidR="00CF0D35">
        <w:rPr>
          <w:lang w:val="en-GB"/>
        </w:rPr>
        <w:t xml:space="preserve">by </w:t>
      </w:r>
      <w:r w:rsidR="00D458F7" w:rsidRPr="00001D19">
        <w:rPr>
          <w:lang w:val="en-GB"/>
        </w:rPr>
        <w:t xml:space="preserve">dividing the EU </w:t>
      </w:r>
      <w:r w:rsidR="00AC6F59">
        <w:rPr>
          <w:lang w:val="en-GB"/>
        </w:rPr>
        <w:t xml:space="preserve">member </w:t>
      </w:r>
      <w:r w:rsidR="00D458F7" w:rsidRPr="00001D19">
        <w:rPr>
          <w:lang w:val="en-GB"/>
        </w:rPr>
        <w:t>state</w:t>
      </w:r>
      <w:r w:rsidR="00AC6F59">
        <w:rPr>
          <w:lang w:val="en-GB"/>
        </w:rPr>
        <w:t>s</w:t>
      </w:r>
      <w:r w:rsidR="00D458F7" w:rsidRPr="00001D19">
        <w:rPr>
          <w:lang w:val="en-GB"/>
        </w:rPr>
        <w:t xml:space="preserve"> in three groups. As a matter of fact, in the judgement </w:t>
      </w:r>
      <w:r w:rsidR="003562B7">
        <w:rPr>
          <w:lang w:val="en-GB"/>
        </w:rPr>
        <w:t xml:space="preserve">examined </w:t>
      </w:r>
      <w:r w:rsidR="00D458F7" w:rsidRPr="00001D19">
        <w:rPr>
          <w:lang w:val="en-GB"/>
        </w:rPr>
        <w:t>here</w:t>
      </w:r>
      <w:r w:rsidR="003562B7">
        <w:rPr>
          <w:lang w:val="en-GB"/>
        </w:rPr>
        <w:t>in</w:t>
      </w:r>
      <w:r w:rsidR="00D458F7" w:rsidRPr="00001D19">
        <w:rPr>
          <w:lang w:val="en-GB"/>
        </w:rPr>
        <w:t xml:space="preserve">, the </w:t>
      </w:r>
      <w:r w:rsidR="00CF0D35">
        <w:rPr>
          <w:lang w:val="en-GB"/>
        </w:rPr>
        <w:t xml:space="preserve">General Court </w:t>
      </w:r>
      <w:r w:rsidR="00D458F7" w:rsidRPr="00001D19">
        <w:rPr>
          <w:lang w:val="en-GB"/>
        </w:rPr>
        <w:t xml:space="preserve">refers more than once to </w:t>
      </w:r>
      <w:r w:rsidR="00CF0D35">
        <w:rPr>
          <w:lang w:val="en-GB"/>
        </w:rPr>
        <w:t xml:space="preserve">some </w:t>
      </w:r>
      <w:r w:rsidR="00D458F7" w:rsidRPr="00001D19">
        <w:rPr>
          <w:lang w:val="en-GB"/>
        </w:rPr>
        <w:t>pieces of evidence concerning a group of States where LV did not have a store</w:t>
      </w:r>
      <w:r w:rsidR="00CF0D35">
        <w:rPr>
          <w:lang w:val="en-GB"/>
        </w:rPr>
        <w:t xml:space="preserve"> </w:t>
      </w:r>
      <w:r w:rsidR="00D458F7" w:rsidRPr="00001D19">
        <w:rPr>
          <w:lang w:val="en-GB"/>
        </w:rPr>
        <w:t xml:space="preserve">(Bulgaria, Estonia, Latvia, </w:t>
      </w:r>
      <w:r w:rsidR="00CF0D35" w:rsidRPr="00001D19">
        <w:rPr>
          <w:lang w:val="en-GB"/>
        </w:rPr>
        <w:t>Lithuania,</w:t>
      </w:r>
      <w:r w:rsidR="00D458F7" w:rsidRPr="00001D19">
        <w:rPr>
          <w:lang w:val="en-GB"/>
        </w:rPr>
        <w:t xml:space="preserve"> Slovakia, and Slovenia) and concludes</w:t>
      </w:r>
      <w:r w:rsidR="008550E6">
        <w:rPr>
          <w:lang w:val="en-GB"/>
        </w:rPr>
        <w:t>,</w:t>
      </w:r>
      <w:r w:rsidR="00D458F7" w:rsidRPr="00001D19">
        <w:rPr>
          <w:lang w:val="en-GB"/>
        </w:rPr>
        <w:t xml:space="preserve"> sharing the conclusions raised by the </w:t>
      </w:r>
      <w:r w:rsidR="003C13A4" w:rsidRPr="00001D19">
        <w:rPr>
          <w:lang w:val="en-GB"/>
        </w:rPr>
        <w:t>Board of Appeal</w:t>
      </w:r>
      <w:r w:rsidR="008550E6">
        <w:rPr>
          <w:lang w:val="en-GB"/>
        </w:rPr>
        <w:t>, that</w:t>
      </w:r>
      <w:r w:rsidR="003C13A4" w:rsidRPr="00001D19">
        <w:rPr>
          <w:lang w:val="en-GB"/>
        </w:rPr>
        <w:t xml:space="preserve"> that</w:t>
      </w:r>
      <w:r w:rsidR="00D458F7" w:rsidRPr="00001D19">
        <w:rPr>
          <w:lang w:val="en-GB"/>
        </w:rPr>
        <w:t xml:space="preserve"> </w:t>
      </w:r>
      <w:r w:rsidR="003C13A4" w:rsidRPr="00001D19">
        <w:rPr>
          <w:lang w:val="en-GB"/>
        </w:rPr>
        <w:t>the distinctive character of the pattern “Damier Azur” had not been acquired.</w:t>
      </w:r>
    </w:p>
    <w:p w14:paraId="25DB1A09" w14:textId="77777777" w:rsidR="00AC6F59" w:rsidRPr="00AC6F59" w:rsidRDefault="00AC6F59" w:rsidP="00AC6F59">
      <w:pPr>
        <w:pStyle w:val="Paragrafoelenco"/>
        <w:ind w:left="1080" w:firstLine="336"/>
        <w:jc w:val="both"/>
        <w:rPr>
          <w:lang w:val="en-GB"/>
        </w:rPr>
      </w:pPr>
    </w:p>
    <w:p w14:paraId="5E8F662B" w14:textId="3BA5D3F1" w:rsidR="00A723AA" w:rsidRDefault="003C13A4" w:rsidP="00281288">
      <w:pPr>
        <w:pStyle w:val="Paragrafoelenco"/>
        <w:ind w:left="1080"/>
        <w:jc w:val="both"/>
        <w:rPr>
          <w:lang w:val="en-GB"/>
        </w:rPr>
      </w:pPr>
      <w:r w:rsidRPr="00AB50BA">
        <w:rPr>
          <w:lang w:val="en-GB"/>
        </w:rPr>
        <w:t xml:space="preserve">The </w:t>
      </w:r>
      <w:r w:rsidR="00AB50BA">
        <w:rPr>
          <w:lang w:val="en-GB"/>
        </w:rPr>
        <w:t>General Court</w:t>
      </w:r>
      <w:r w:rsidR="00A723AA">
        <w:rPr>
          <w:lang w:val="en-GB"/>
        </w:rPr>
        <w:t xml:space="preserve"> also </w:t>
      </w:r>
      <w:r w:rsidR="00CF0D35">
        <w:rPr>
          <w:lang w:val="en-GB"/>
        </w:rPr>
        <w:t>emphasized</w:t>
      </w:r>
      <w:r w:rsidR="00A723AA">
        <w:rPr>
          <w:lang w:val="en-GB"/>
        </w:rPr>
        <w:t xml:space="preserve"> t</w:t>
      </w:r>
      <w:r w:rsidR="006875F3">
        <w:rPr>
          <w:lang w:val="en-GB"/>
        </w:rPr>
        <w:t xml:space="preserve">hat </w:t>
      </w:r>
      <w:r w:rsidR="008550E6">
        <w:rPr>
          <w:lang w:val="en-GB"/>
        </w:rPr>
        <w:t xml:space="preserve">LV’s </w:t>
      </w:r>
      <w:r w:rsidR="006875F3">
        <w:rPr>
          <w:lang w:val="en-GB"/>
        </w:rPr>
        <w:t>observation</w:t>
      </w:r>
      <w:r w:rsidR="008550E6">
        <w:rPr>
          <w:lang w:val="en-GB"/>
        </w:rPr>
        <w:t xml:space="preserve"> that</w:t>
      </w:r>
      <w:r w:rsidR="006875F3">
        <w:rPr>
          <w:lang w:val="en-GB"/>
        </w:rPr>
        <w:t xml:space="preserve"> consumers of the luxury sector</w:t>
      </w:r>
      <w:r w:rsidR="00A723AA">
        <w:rPr>
          <w:lang w:val="en-GB"/>
        </w:rPr>
        <w:t xml:space="preserve">, </w:t>
      </w:r>
      <w:r w:rsidR="00A723AA" w:rsidRPr="00A723AA">
        <w:rPr>
          <w:lang w:val="en-GB"/>
        </w:rPr>
        <w:t xml:space="preserve">being </w:t>
      </w:r>
      <w:r w:rsidR="00E16766">
        <w:rPr>
          <w:lang w:val="en-GB"/>
        </w:rPr>
        <w:t xml:space="preserve">accustomed </w:t>
      </w:r>
      <w:r w:rsidR="00A723AA" w:rsidRPr="00A723AA">
        <w:rPr>
          <w:lang w:val="en-GB"/>
        </w:rPr>
        <w:t xml:space="preserve">to travel and using </w:t>
      </w:r>
      <w:r w:rsidR="00AB50BA">
        <w:rPr>
          <w:lang w:val="en-GB"/>
        </w:rPr>
        <w:t xml:space="preserve">the </w:t>
      </w:r>
      <w:r w:rsidR="00A723AA" w:rsidRPr="00A723AA">
        <w:rPr>
          <w:lang w:val="en-GB"/>
        </w:rPr>
        <w:t xml:space="preserve">internet </w:t>
      </w:r>
      <w:r w:rsidR="00AB50BA">
        <w:rPr>
          <w:lang w:val="en-GB"/>
        </w:rPr>
        <w:t>to search</w:t>
      </w:r>
      <w:r w:rsidR="00A723AA" w:rsidRPr="00A723AA">
        <w:rPr>
          <w:lang w:val="en-GB"/>
        </w:rPr>
        <w:t xml:space="preserve"> for information</w:t>
      </w:r>
      <w:r w:rsidR="00A723AA">
        <w:rPr>
          <w:lang w:val="en-GB"/>
        </w:rPr>
        <w:t>,</w:t>
      </w:r>
      <w:r w:rsidR="006875F3">
        <w:rPr>
          <w:lang w:val="en-GB"/>
        </w:rPr>
        <w:t xml:space="preserve"> would maintain </w:t>
      </w:r>
      <w:r w:rsidR="00553A02">
        <w:rPr>
          <w:lang w:val="en-GB"/>
        </w:rPr>
        <w:t>a</w:t>
      </w:r>
      <w:r w:rsidR="006875F3">
        <w:rPr>
          <w:lang w:val="en-GB"/>
        </w:rPr>
        <w:t xml:space="preserve"> homogeneous behaviour in different countries</w:t>
      </w:r>
      <w:r w:rsidR="00A723AA">
        <w:rPr>
          <w:lang w:val="en-GB"/>
        </w:rPr>
        <w:t xml:space="preserve">, is a too vague </w:t>
      </w:r>
      <w:r w:rsidR="008550E6">
        <w:rPr>
          <w:lang w:val="en-GB"/>
        </w:rPr>
        <w:t xml:space="preserve">an </w:t>
      </w:r>
      <w:r w:rsidR="00A723AA">
        <w:rPr>
          <w:lang w:val="en-GB"/>
        </w:rPr>
        <w:t>argument</w:t>
      </w:r>
      <w:r w:rsidR="009A793D">
        <w:rPr>
          <w:lang w:val="en-GB"/>
        </w:rPr>
        <w:t xml:space="preserve"> </w:t>
      </w:r>
      <w:r w:rsidR="00AB50BA">
        <w:rPr>
          <w:lang w:val="en-GB"/>
        </w:rPr>
        <w:t xml:space="preserve">and it is </w:t>
      </w:r>
      <w:r w:rsidR="009A793D">
        <w:rPr>
          <w:lang w:val="en-GB"/>
        </w:rPr>
        <w:t>not sufficient to satisfy the burden of proof</w:t>
      </w:r>
      <w:r w:rsidR="00BF5DA2">
        <w:rPr>
          <w:lang w:val="en-GB"/>
        </w:rPr>
        <w:t xml:space="preserve"> that</w:t>
      </w:r>
      <w:r w:rsidR="009A793D">
        <w:rPr>
          <w:lang w:val="en-GB"/>
        </w:rPr>
        <w:t xml:space="preserve"> l</w:t>
      </w:r>
      <w:r w:rsidR="00BF5DA2">
        <w:rPr>
          <w:lang w:val="en-GB"/>
        </w:rPr>
        <w:t>ies</w:t>
      </w:r>
      <w:r w:rsidR="009A793D">
        <w:rPr>
          <w:lang w:val="en-GB"/>
        </w:rPr>
        <w:t xml:space="preserve"> </w:t>
      </w:r>
      <w:r w:rsidR="00BF5DA2">
        <w:rPr>
          <w:lang w:val="en-GB"/>
        </w:rPr>
        <w:t>with</w:t>
      </w:r>
      <w:r w:rsidR="009A793D">
        <w:rPr>
          <w:lang w:val="en-GB"/>
        </w:rPr>
        <w:t xml:space="preserve"> the party </w:t>
      </w:r>
      <w:r w:rsidR="008550E6">
        <w:rPr>
          <w:lang w:val="en-GB"/>
        </w:rPr>
        <w:t xml:space="preserve">that is </w:t>
      </w:r>
      <w:r w:rsidR="009A793D">
        <w:rPr>
          <w:lang w:val="en-GB"/>
        </w:rPr>
        <w:t xml:space="preserve">required to demonstrate </w:t>
      </w:r>
      <w:r w:rsidR="00553A02">
        <w:rPr>
          <w:lang w:val="en-GB"/>
        </w:rPr>
        <w:t>the acqui</w:t>
      </w:r>
      <w:r w:rsidR="00BF5DA2">
        <w:rPr>
          <w:lang w:val="en-GB"/>
        </w:rPr>
        <w:t>sition of distinctive character through use</w:t>
      </w:r>
      <w:r w:rsidR="00553A02">
        <w:rPr>
          <w:lang w:val="en-GB"/>
        </w:rPr>
        <w:t>. As a matter of fact, the pro</w:t>
      </w:r>
      <w:r w:rsidR="00BF5DA2">
        <w:rPr>
          <w:lang w:val="en-GB"/>
        </w:rPr>
        <w:t>prietor has to adduce specific and substantiated evidence for that purpose</w:t>
      </w:r>
      <w:r w:rsidR="00553A02">
        <w:rPr>
          <w:lang w:val="en-GB"/>
        </w:rPr>
        <w:t xml:space="preserve">. In the present proceedings, the </w:t>
      </w:r>
      <w:r w:rsidR="007B2057">
        <w:rPr>
          <w:lang w:val="en-GB"/>
        </w:rPr>
        <w:t>General Court</w:t>
      </w:r>
      <w:r w:rsidR="00553A02">
        <w:rPr>
          <w:lang w:val="en-GB"/>
        </w:rPr>
        <w:t xml:space="preserve"> </w:t>
      </w:r>
      <w:r w:rsidR="008550E6">
        <w:rPr>
          <w:lang w:val="en-GB"/>
        </w:rPr>
        <w:t xml:space="preserve">noted </w:t>
      </w:r>
      <w:r w:rsidR="00553A02">
        <w:rPr>
          <w:lang w:val="en-GB"/>
        </w:rPr>
        <w:t xml:space="preserve">that LV </w:t>
      </w:r>
      <w:r w:rsidR="008550E6">
        <w:rPr>
          <w:lang w:val="en-GB"/>
        </w:rPr>
        <w:t>had</w:t>
      </w:r>
      <w:r w:rsidR="00553A02">
        <w:rPr>
          <w:lang w:val="en-GB"/>
        </w:rPr>
        <w:t xml:space="preserve"> not proved – </w:t>
      </w:r>
      <w:r w:rsidR="008550E6">
        <w:rPr>
          <w:lang w:val="en-GB"/>
        </w:rPr>
        <w:t xml:space="preserve">or </w:t>
      </w:r>
      <w:r w:rsidR="00553A02">
        <w:rPr>
          <w:lang w:val="en-GB"/>
        </w:rPr>
        <w:t xml:space="preserve">even </w:t>
      </w:r>
      <w:r w:rsidR="007B2057">
        <w:rPr>
          <w:lang w:val="en-GB"/>
        </w:rPr>
        <w:t>alleged</w:t>
      </w:r>
      <w:r w:rsidR="00553A02">
        <w:rPr>
          <w:lang w:val="en-GB"/>
        </w:rPr>
        <w:t xml:space="preserve"> – that the groups of countries </w:t>
      </w:r>
      <w:r w:rsidR="00091F69">
        <w:rPr>
          <w:lang w:val="en-GB"/>
        </w:rPr>
        <w:t>with</w:t>
      </w:r>
      <w:r w:rsidR="00553A02">
        <w:rPr>
          <w:lang w:val="en-GB"/>
        </w:rPr>
        <w:t xml:space="preserve"> </w:t>
      </w:r>
      <w:r w:rsidR="00553A02">
        <w:rPr>
          <w:lang w:val="en-GB"/>
        </w:rPr>
        <w:lastRenderedPageBreak/>
        <w:t xml:space="preserve">geographic and cultural </w:t>
      </w:r>
      <w:r w:rsidR="00091F69">
        <w:rPr>
          <w:lang w:val="en-GB"/>
        </w:rPr>
        <w:t>proximity</w:t>
      </w:r>
      <w:r w:rsidR="00553A02">
        <w:rPr>
          <w:lang w:val="en-GB"/>
        </w:rPr>
        <w:t xml:space="preserve"> (for example, according to LV, Latvia</w:t>
      </w:r>
      <w:r w:rsidR="00091F69">
        <w:rPr>
          <w:lang w:val="en-GB"/>
        </w:rPr>
        <w:t xml:space="preserve"> and Lithuania</w:t>
      </w:r>
      <w:r w:rsidR="00553A02">
        <w:rPr>
          <w:lang w:val="en-GB"/>
        </w:rPr>
        <w:t xml:space="preserve"> on the one side, and Poland and S</w:t>
      </w:r>
      <w:r w:rsidR="00091F69">
        <w:rPr>
          <w:lang w:val="en-GB"/>
        </w:rPr>
        <w:t xml:space="preserve">weden </w:t>
      </w:r>
      <w:r w:rsidR="00553A02">
        <w:rPr>
          <w:lang w:val="en-GB"/>
        </w:rPr>
        <w:t xml:space="preserve">on the other side) </w:t>
      </w:r>
      <w:r w:rsidR="009A4F8B">
        <w:rPr>
          <w:lang w:val="en-GB"/>
        </w:rPr>
        <w:t>would be part of the same distributive network, or of a group managed by the Maison according to the same marketing strategy.</w:t>
      </w:r>
    </w:p>
    <w:p w14:paraId="2466A6E3" w14:textId="111D0964" w:rsidR="009A4F8B" w:rsidRDefault="009A4F8B" w:rsidP="00A723AA">
      <w:pPr>
        <w:pStyle w:val="Paragrafoelenco"/>
        <w:ind w:left="1080"/>
        <w:jc w:val="both"/>
        <w:rPr>
          <w:lang w:val="en-GB"/>
        </w:rPr>
      </w:pPr>
    </w:p>
    <w:p w14:paraId="21FDFA47" w14:textId="73CF1EDA" w:rsidR="009A4F8B" w:rsidRDefault="009A4F8B" w:rsidP="00281288">
      <w:pPr>
        <w:pStyle w:val="Paragrafoelenco"/>
        <w:ind w:left="1080"/>
        <w:jc w:val="both"/>
        <w:rPr>
          <w:lang w:val="en-GB"/>
        </w:rPr>
      </w:pPr>
      <w:r>
        <w:rPr>
          <w:lang w:val="en-GB"/>
        </w:rPr>
        <w:t>Beside</w:t>
      </w:r>
      <w:r w:rsidR="00091F69">
        <w:rPr>
          <w:lang w:val="en-GB"/>
        </w:rPr>
        <w:t>s</w:t>
      </w:r>
      <w:r>
        <w:rPr>
          <w:lang w:val="en-GB"/>
        </w:rPr>
        <w:t xml:space="preserve"> the </w:t>
      </w:r>
      <w:r w:rsidR="00091F69">
        <w:rPr>
          <w:lang w:val="en-GB"/>
        </w:rPr>
        <w:t>unfavourable outcome</w:t>
      </w:r>
      <w:r>
        <w:rPr>
          <w:lang w:val="en-GB"/>
        </w:rPr>
        <w:t xml:space="preserve"> for LV, this </w:t>
      </w:r>
      <w:r w:rsidR="008550E6">
        <w:rPr>
          <w:lang w:val="en-GB"/>
        </w:rPr>
        <w:t xml:space="preserve">decision </w:t>
      </w:r>
      <w:r>
        <w:rPr>
          <w:lang w:val="en-GB"/>
        </w:rPr>
        <w:t xml:space="preserve">is likely to become the </w:t>
      </w:r>
      <w:r w:rsidR="008550E6">
        <w:rPr>
          <w:lang w:val="en-GB"/>
        </w:rPr>
        <w:t xml:space="preserve">north </w:t>
      </w:r>
      <w:r>
        <w:rPr>
          <w:lang w:val="en-GB"/>
        </w:rPr>
        <w:t>st</w:t>
      </w:r>
      <w:r w:rsidR="00A61697">
        <w:rPr>
          <w:lang w:val="en-GB"/>
        </w:rPr>
        <w:t>ar</w:t>
      </w:r>
      <w:r>
        <w:rPr>
          <w:lang w:val="en-GB"/>
        </w:rPr>
        <w:t xml:space="preserve"> for those travelling in</w:t>
      </w:r>
      <w:r w:rsidR="008550E6">
        <w:rPr>
          <w:lang w:val="en-GB"/>
        </w:rPr>
        <w:t>to</w:t>
      </w:r>
      <w:r>
        <w:rPr>
          <w:lang w:val="en-GB"/>
        </w:rPr>
        <w:t xml:space="preserve"> the dangerous waters of the </w:t>
      </w:r>
      <w:r w:rsidR="00A61697">
        <w:rPr>
          <w:lang w:val="en-GB"/>
        </w:rPr>
        <w:t>evidence</w:t>
      </w:r>
      <w:r w:rsidR="008550E6">
        <w:rPr>
          <w:lang w:val="en-GB"/>
        </w:rPr>
        <w:t xml:space="preserve"> necessary</w:t>
      </w:r>
      <w:r>
        <w:rPr>
          <w:lang w:val="en-GB"/>
        </w:rPr>
        <w:t xml:space="preserve"> to </w:t>
      </w:r>
      <w:r w:rsidR="00A61697">
        <w:rPr>
          <w:lang w:val="en-GB"/>
        </w:rPr>
        <w:t>demonstrate</w:t>
      </w:r>
      <w:r>
        <w:rPr>
          <w:lang w:val="en-GB"/>
        </w:rPr>
        <w:t xml:space="preserve"> that</w:t>
      </w:r>
      <w:r w:rsidR="00A61697">
        <w:rPr>
          <w:lang w:val="en-GB"/>
        </w:rPr>
        <w:t xml:space="preserve"> a</w:t>
      </w:r>
      <w:r>
        <w:rPr>
          <w:lang w:val="en-GB"/>
        </w:rPr>
        <w:t xml:space="preserve"> pattern</w:t>
      </w:r>
      <w:r w:rsidR="008550E6">
        <w:rPr>
          <w:lang w:val="en-GB"/>
        </w:rPr>
        <w:t xml:space="preserve"> that is</w:t>
      </w:r>
      <w:r>
        <w:rPr>
          <w:lang w:val="en-GB"/>
        </w:rPr>
        <w:t xml:space="preserve"> apparently common or banal</w:t>
      </w:r>
      <w:r w:rsidR="00A61697">
        <w:rPr>
          <w:lang w:val="en-GB"/>
        </w:rPr>
        <w:t xml:space="preserve"> has acquired distinctive character though use</w:t>
      </w:r>
      <w:r w:rsidR="008550E6">
        <w:rPr>
          <w:lang w:val="en-GB"/>
        </w:rPr>
        <w:t>, such that</w:t>
      </w:r>
      <w:r>
        <w:rPr>
          <w:lang w:val="en-GB"/>
        </w:rPr>
        <w:t xml:space="preserve"> </w:t>
      </w:r>
      <w:r w:rsidR="00C358D3">
        <w:rPr>
          <w:lang w:val="en-GB"/>
        </w:rPr>
        <w:t xml:space="preserve">the public </w:t>
      </w:r>
      <w:r w:rsidR="00A61697">
        <w:rPr>
          <w:lang w:val="en-GB"/>
        </w:rPr>
        <w:t>can</w:t>
      </w:r>
      <w:r w:rsidR="00C358D3">
        <w:rPr>
          <w:lang w:val="en-GB"/>
        </w:rPr>
        <w:t xml:space="preserve"> perceive it as a</w:t>
      </w:r>
      <w:r w:rsidR="00A61697">
        <w:rPr>
          <w:lang w:val="en-GB"/>
        </w:rPr>
        <w:t xml:space="preserve"> </w:t>
      </w:r>
      <w:r w:rsidR="008550E6">
        <w:rPr>
          <w:lang w:val="en-GB"/>
        </w:rPr>
        <w:t xml:space="preserve">truly </w:t>
      </w:r>
      <w:r w:rsidR="00C358D3">
        <w:rPr>
          <w:lang w:val="en-GB"/>
        </w:rPr>
        <w:t>distinctive trademark</w:t>
      </w:r>
      <w:r w:rsidR="00A61697">
        <w:rPr>
          <w:lang w:val="en-GB"/>
        </w:rPr>
        <w:t>.</w:t>
      </w:r>
    </w:p>
    <w:p w14:paraId="4E3AE5B3" w14:textId="77777777" w:rsidR="009A793D" w:rsidRPr="00A723AA" w:rsidRDefault="009A793D" w:rsidP="00A723AA">
      <w:pPr>
        <w:pStyle w:val="Paragrafoelenco"/>
        <w:ind w:left="1080"/>
        <w:jc w:val="both"/>
        <w:rPr>
          <w:lang w:val="en-GB"/>
        </w:rPr>
      </w:pPr>
    </w:p>
    <w:sectPr w:rsidR="009A793D" w:rsidRPr="00A72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Lauren Rose Keller" w:date="2022-11-25T13:52:00Z" w:initials="LRK">
    <w:p w14:paraId="77DF8BD2" w14:textId="57DB439D" w:rsidR="00A647D1" w:rsidRDefault="00A647D1">
      <w:pPr>
        <w:pStyle w:val="Testocommento"/>
      </w:pPr>
      <w:r>
        <w:rPr>
          <w:rStyle w:val="Rimandocommento"/>
        </w:rPr>
        <w:annotationRef/>
      </w:r>
      <w:r>
        <w:t xml:space="preserve">Please check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DF8B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DF8BD2" w16cid:durableId="272B47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4D3D"/>
    <w:multiLevelType w:val="hybridMultilevel"/>
    <w:tmpl w:val="B2D05D1C"/>
    <w:lvl w:ilvl="0" w:tplc="9814D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8F1EF9"/>
    <w:multiLevelType w:val="hybridMultilevel"/>
    <w:tmpl w:val="3F701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en Rose Keller">
    <w15:presenceInfo w15:providerId="AD" w15:userId="S-1-5-21-171899655-2361860330-368061368-9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F9"/>
    <w:rsid w:val="00001D19"/>
    <w:rsid w:val="00046BAB"/>
    <w:rsid w:val="00082952"/>
    <w:rsid w:val="0008680B"/>
    <w:rsid w:val="00091F69"/>
    <w:rsid w:val="00122418"/>
    <w:rsid w:val="001355CA"/>
    <w:rsid w:val="00142624"/>
    <w:rsid w:val="00231107"/>
    <w:rsid w:val="00232D7C"/>
    <w:rsid w:val="00247B4B"/>
    <w:rsid w:val="00281288"/>
    <w:rsid w:val="002A2DB2"/>
    <w:rsid w:val="002C6812"/>
    <w:rsid w:val="002E573A"/>
    <w:rsid w:val="00302FF9"/>
    <w:rsid w:val="003349CF"/>
    <w:rsid w:val="00351C2B"/>
    <w:rsid w:val="003562B7"/>
    <w:rsid w:val="003746C1"/>
    <w:rsid w:val="00391430"/>
    <w:rsid w:val="003C13A4"/>
    <w:rsid w:val="003F6327"/>
    <w:rsid w:val="003F794B"/>
    <w:rsid w:val="00475921"/>
    <w:rsid w:val="004905BC"/>
    <w:rsid w:val="005073D6"/>
    <w:rsid w:val="0055307F"/>
    <w:rsid w:val="00553A02"/>
    <w:rsid w:val="0057407D"/>
    <w:rsid w:val="005D1B20"/>
    <w:rsid w:val="005D7D87"/>
    <w:rsid w:val="00607F22"/>
    <w:rsid w:val="0061335E"/>
    <w:rsid w:val="00632E6E"/>
    <w:rsid w:val="00650D9C"/>
    <w:rsid w:val="006875F3"/>
    <w:rsid w:val="00687D47"/>
    <w:rsid w:val="00750C4D"/>
    <w:rsid w:val="00792E33"/>
    <w:rsid w:val="007B2057"/>
    <w:rsid w:val="00813FAE"/>
    <w:rsid w:val="00817757"/>
    <w:rsid w:val="008550E6"/>
    <w:rsid w:val="008B74EA"/>
    <w:rsid w:val="009057F3"/>
    <w:rsid w:val="00905C34"/>
    <w:rsid w:val="00961A52"/>
    <w:rsid w:val="0097187E"/>
    <w:rsid w:val="009A4F8B"/>
    <w:rsid w:val="009A793D"/>
    <w:rsid w:val="00A053C8"/>
    <w:rsid w:val="00A576F4"/>
    <w:rsid w:val="00A61697"/>
    <w:rsid w:val="00A647D1"/>
    <w:rsid w:val="00A723AA"/>
    <w:rsid w:val="00A952F6"/>
    <w:rsid w:val="00AB05F9"/>
    <w:rsid w:val="00AB31E6"/>
    <w:rsid w:val="00AB50BA"/>
    <w:rsid w:val="00AC6F59"/>
    <w:rsid w:val="00AD3050"/>
    <w:rsid w:val="00B20F6E"/>
    <w:rsid w:val="00B84CD2"/>
    <w:rsid w:val="00BC5271"/>
    <w:rsid w:val="00BD0831"/>
    <w:rsid w:val="00BE609C"/>
    <w:rsid w:val="00BE7C2C"/>
    <w:rsid w:val="00BF5DA2"/>
    <w:rsid w:val="00C12365"/>
    <w:rsid w:val="00C2330F"/>
    <w:rsid w:val="00C3288B"/>
    <w:rsid w:val="00C358D3"/>
    <w:rsid w:val="00C435C7"/>
    <w:rsid w:val="00C44830"/>
    <w:rsid w:val="00C46B35"/>
    <w:rsid w:val="00C879FD"/>
    <w:rsid w:val="00CB6561"/>
    <w:rsid w:val="00CC3422"/>
    <w:rsid w:val="00CF0D35"/>
    <w:rsid w:val="00D16247"/>
    <w:rsid w:val="00D458F7"/>
    <w:rsid w:val="00D76775"/>
    <w:rsid w:val="00D76BFA"/>
    <w:rsid w:val="00D90886"/>
    <w:rsid w:val="00D925FD"/>
    <w:rsid w:val="00DB2C2D"/>
    <w:rsid w:val="00DE2E05"/>
    <w:rsid w:val="00DE49DE"/>
    <w:rsid w:val="00E16766"/>
    <w:rsid w:val="00E17560"/>
    <w:rsid w:val="00E41070"/>
    <w:rsid w:val="00E608CA"/>
    <w:rsid w:val="00E93219"/>
    <w:rsid w:val="00EC10E8"/>
    <w:rsid w:val="00EE5C0B"/>
    <w:rsid w:val="00EF3C26"/>
    <w:rsid w:val="00F04E3D"/>
    <w:rsid w:val="00FA3D6D"/>
    <w:rsid w:val="00FC2291"/>
    <w:rsid w:val="00FC734C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EBDB"/>
  <w15:chartTrackingRefBased/>
  <w15:docId w15:val="{64E7FDA8-0D92-4B41-BA81-E949AD4F7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2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92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64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4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Monica Schiano</cp:lastModifiedBy>
  <cp:revision>2</cp:revision>
  <cp:lastPrinted>2022-11-28T11:58:00Z</cp:lastPrinted>
  <dcterms:created xsi:type="dcterms:W3CDTF">2022-11-28T11:58:00Z</dcterms:created>
  <dcterms:modified xsi:type="dcterms:W3CDTF">2022-11-28T11:58:00Z</dcterms:modified>
</cp:coreProperties>
</file>